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31CDA" w14:textId="77B23ACC" w:rsidR="001E43D5" w:rsidRDefault="00024678" w:rsidP="00024678">
      <w:pPr>
        <w:jc w:val="center"/>
      </w:pPr>
      <w:r>
        <w:t>Taylor Larson</w:t>
      </w:r>
      <w:r>
        <w:tab/>
      </w:r>
      <w:r>
        <w:tab/>
      </w:r>
      <w:r>
        <w:tab/>
      </w:r>
      <w:r w:rsidRPr="00024678">
        <w:rPr>
          <w:b/>
        </w:rPr>
        <w:t>Estee Lauder Companies (EL)</w:t>
      </w:r>
      <w:r>
        <w:tab/>
      </w:r>
      <w:r>
        <w:tab/>
      </w:r>
      <w:r>
        <w:tab/>
        <w:t>Kaylin Jensen</w:t>
      </w:r>
      <w:r>
        <w:br/>
        <w:t xml:space="preserve">December </w:t>
      </w:r>
      <w:r w:rsidR="00D473C1">
        <w:t>10</w:t>
      </w:r>
      <w:r>
        <w:t>, 2017</w:t>
      </w:r>
      <w:r>
        <w:br/>
        <w:t>Consumer Staples</w:t>
      </w:r>
    </w:p>
    <w:p w14:paraId="58BF18EB" w14:textId="374C4D60" w:rsidR="00101B4B" w:rsidRPr="00024678" w:rsidRDefault="001E43D5">
      <w:pPr>
        <w:rPr>
          <w:b/>
        </w:rPr>
      </w:pPr>
      <w:r w:rsidRPr="00390018">
        <w:rPr>
          <w:b/>
        </w:rPr>
        <w:t>Introduction</w:t>
      </w:r>
      <w:r w:rsidR="00024678">
        <w:rPr>
          <w:b/>
        </w:rPr>
        <w:br/>
      </w:r>
      <w:r w:rsidR="00101B4B" w:rsidRPr="00101B4B">
        <w:t>Estee Lauder Companies (NYSE: EL)</w:t>
      </w:r>
      <w:r w:rsidR="00101B4B">
        <w:t xml:space="preserve"> is a United </w:t>
      </w:r>
      <w:r w:rsidR="00EA66EA">
        <w:t>States based company in the Consumer S</w:t>
      </w:r>
      <w:r w:rsidR="00BC09F6">
        <w:t xml:space="preserve">taples industry.  The company specializes in producing makeup, skin care, hair care, and fragrance products.  They operate globally selling these products through a variety of mediums ranging from brick and mortar retail stores to places like Amazon.  Although some products are offered under the name Estee Lauder, the company also sells products under multiple other lines including Smashbox and Clinique.  The company was originally founded by Estee and Joseph Lauder in New York in 1946.  </w:t>
      </w:r>
      <w:r w:rsidR="008C2E0F">
        <w:t>Although Estee has since passed away, the company still carries her name and the values she instilled to empower women around the world.</w:t>
      </w:r>
    </w:p>
    <w:tbl>
      <w:tblPr>
        <w:tblW w:w="9980" w:type="dxa"/>
        <w:tblCellMar>
          <w:left w:w="0" w:type="dxa"/>
          <w:right w:w="0" w:type="dxa"/>
        </w:tblCellMar>
        <w:tblLook w:val="04A0" w:firstRow="1" w:lastRow="0" w:firstColumn="1" w:lastColumn="0" w:noHBand="0" w:noVBand="1"/>
      </w:tblPr>
      <w:tblGrid>
        <w:gridCol w:w="1430"/>
        <w:gridCol w:w="1175"/>
        <w:gridCol w:w="210"/>
        <w:gridCol w:w="1191"/>
        <w:gridCol w:w="598"/>
        <w:gridCol w:w="270"/>
        <w:gridCol w:w="1320"/>
        <w:gridCol w:w="996"/>
        <w:gridCol w:w="990"/>
        <w:gridCol w:w="900"/>
        <w:gridCol w:w="900"/>
      </w:tblGrid>
      <w:tr w:rsidR="002202CA" w:rsidRPr="002202CA" w14:paraId="28B84242" w14:textId="77777777" w:rsidTr="002202CA">
        <w:trPr>
          <w:trHeight w:hRule="exact" w:val="315"/>
        </w:trPr>
        <w:tc>
          <w:tcPr>
            <w:tcW w:w="1430"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528345C" w14:textId="77777777" w:rsidR="009C05B4" w:rsidRPr="002202CA" w:rsidRDefault="009C05B4">
            <w:pPr>
              <w:rPr>
                <w:rFonts w:ascii="Calibri" w:hAnsi="Calibri" w:cs="Calibri"/>
                <w:color w:val="000000"/>
                <w:sz w:val="20"/>
              </w:rPr>
            </w:pPr>
            <w:r w:rsidRPr="002202CA">
              <w:rPr>
                <w:rFonts w:ascii="Calibri" w:hAnsi="Calibri" w:cs="Calibri"/>
                <w:color w:val="000000"/>
                <w:sz w:val="20"/>
              </w:rPr>
              <w:t>Price ($)</w:t>
            </w:r>
          </w:p>
        </w:tc>
        <w:tc>
          <w:tcPr>
            <w:tcW w:w="117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11AEAA5" w14:textId="77777777" w:rsidR="0014234B" w:rsidRDefault="0014234B" w:rsidP="0014234B">
            <w:pPr>
              <w:jc w:val="right"/>
              <w:rPr>
                <w:rFonts w:ascii="Calibri" w:hAnsi="Calibri" w:cs="Calibri"/>
                <w:color w:val="000000"/>
              </w:rPr>
            </w:pPr>
            <w:r>
              <w:rPr>
                <w:rFonts w:ascii="Calibri" w:hAnsi="Calibri" w:cs="Calibri"/>
                <w:color w:val="000000"/>
              </w:rPr>
              <w:t>123.75</w:t>
            </w:r>
          </w:p>
          <w:p w14:paraId="226DB186" w14:textId="65799731" w:rsidR="009C05B4" w:rsidRPr="002202CA" w:rsidRDefault="009C05B4">
            <w:pPr>
              <w:jc w:val="right"/>
              <w:rPr>
                <w:rFonts w:ascii="Calibri" w:hAnsi="Calibri" w:cs="Calibri"/>
                <w:color w:val="000000"/>
                <w:sz w:val="20"/>
              </w:rPr>
            </w:pPr>
          </w:p>
        </w:tc>
        <w:tc>
          <w:tcPr>
            <w:tcW w:w="210" w:type="dxa"/>
            <w:tcBorders>
              <w:top w:val="nil"/>
              <w:left w:val="nil"/>
              <w:bottom w:val="nil"/>
              <w:right w:val="nil"/>
            </w:tcBorders>
            <w:shd w:val="clear" w:color="auto" w:fill="auto"/>
            <w:noWrap/>
            <w:tcMar>
              <w:top w:w="0" w:type="dxa"/>
              <w:left w:w="15" w:type="dxa"/>
              <w:bottom w:w="0" w:type="dxa"/>
              <w:right w:w="15" w:type="dxa"/>
            </w:tcMar>
            <w:vAlign w:val="bottom"/>
            <w:hideMark/>
          </w:tcPr>
          <w:p w14:paraId="65401E25" w14:textId="77777777" w:rsidR="009C05B4" w:rsidRPr="002202CA" w:rsidRDefault="009C05B4">
            <w:pPr>
              <w:jc w:val="right"/>
              <w:rPr>
                <w:rFonts w:ascii="Calibri" w:hAnsi="Calibri" w:cs="Calibri"/>
                <w:color w:val="000000"/>
                <w:sz w:val="20"/>
              </w:rPr>
            </w:pPr>
          </w:p>
        </w:tc>
        <w:tc>
          <w:tcPr>
            <w:tcW w:w="1191"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7D161AF" w14:textId="77777777" w:rsidR="009C05B4" w:rsidRPr="002202CA" w:rsidRDefault="009C05B4">
            <w:pPr>
              <w:rPr>
                <w:rFonts w:ascii="Calibri" w:hAnsi="Calibri" w:cs="Calibri"/>
                <w:color w:val="000000"/>
                <w:sz w:val="20"/>
              </w:rPr>
            </w:pPr>
            <w:r w:rsidRPr="002202CA">
              <w:rPr>
                <w:rFonts w:ascii="Calibri" w:hAnsi="Calibri" w:cs="Calibri"/>
                <w:color w:val="000000"/>
                <w:sz w:val="20"/>
              </w:rPr>
              <w:t>Beta</w:t>
            </w:r>
          </w:p>
        </w:tc>
        <w:tc>
          <w:tcPr>
            <w:tcW w:w="59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69D5428"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0.753</w:t>
            </w:r>
          </w:p>
        </w:tc>
        <w:tc>
          <w:tcPr>
            <w:tcW w:w="270" w:type="dxa"/>
            <w:tcBorders>
              <w:top w:val="nil"/>
              <w:left w:val="nil"/>
              <w:bottom w:val="nil"/>
              <w:right w:val="nil"/>
            </w:tcBorders>
            <w:shd w:val="clear" w:color="auto" w:fill="auto"/>
            <w:noWrap/>
            <w:tcMar>
              <w:top w:w="0" w:type="dxa"/>
              <w:left w:w="15" w:type="dxa"/>
              <w:bottom w:w="0" w:type="dxa"/>
              <w:right w:w="15" w:type="dxa"/>
            </w:tcMar>
            <w:vAlign w:val="bottom"/>
            <w:hideMark/>
          </w:tcPr>
          <w:p w14:paraId="3CB27DB7" w14:textId="77777777" w:rsidR="009C05B4" w:rsidRPr="002202CA" w:rsidRDefault="009C05B4">
            <w:pPr>
              <w:jc w:val="right"/>
              <w:rPr>
                <w:rFonts w:ascii="Calibri" w:hAnsi="Calibri" w:cs="Calibri"/>
                <w:color w:val="000000"/>
                <w:sz w:val="20"/>
              </w:rPr>
            </w:pPr>
          </w:p>
        </w:tc>
        <w:tc>
          <w:tcPr>
            <w:tcW w:w="1320"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68DA0A3" w14:textId="77777777" w:rsidR="009C05B4" w:rsidRPr="002202CA" w:rsidRDefault="009C05B4">
            <w:pPr>
              <w:jc w:val="center"/>
              <w:rPr>
                <w:rFonts w:ascii="Calibri" w:hAnsi="Calibri" w:cs="Calibri"/>
                <w:color w:val="000000"/>
                <w:sz w:val="20"/>
              </w:rPr>
            </w:pPr>
            <w:r w:rsidRPr="002202CA">
              <w:rPr>
                <w:rFonts w:ascii="Calibri" w:hAnsi="Calibri" w:cs="Calibri"/>
                <w:color w:val="000000"/>
                <w:sz w:val="20"/>
              </w:rPr>
              <w:t>FY: Dec</w:t>
            </w:r>
          </w:p>
        </w:tc>
        <w:tc>
          <w:tcPr>
            <w:tcW w:w="99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25847D0" w14:textId="77777777" w:rsidR="009C05B4" w:rsidRPr="002202CA" w:rsidRDefault="009C05B4">
            <w:pPr>
              <w:jc w:val="center"/>
              <w:rPr>
                <w:rFonts w:ascii="Calibri" w:hAnsi="Calibri" w:cs="Calibri"/>
                <w:color w:val="000000"/>
                <w:sz w:val="20"/>
              </w:rPr>
            </w:pPr>
            <w:r w:rsidRPr="002202CA">
              <w:rPr>
                <w:rFonts w:ascii="Calibri" w:hAnsi="Calibri" w:cs="Calibri"/>
                <w:color w:val="000000"/>
                <w:sz w:val="20"/>
              </w:rPr>
              <w:t>2015A</w:t>
            </w:r>
          </w:p>
        </w:tc>
        <w:tc>
          <w:tcPr>
            <w:tcW w:w="99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FC7ABB0" w14:textId="77777777" w:rsidR="009C05B4" w:rsidRPr="002202CA" w:rsidRDefault="009C05B4">
            <w:pPr>
              <w:jc w:val="center"/>
              <w:rPr>
                <w:rFonts w:ascii="Calibri" w:hAnsi="Calibri" w:cs="Calibri"/>
                <w:color w:val="000000"/>
                <w:sz w:val="20"/>
              </w:rPr>
            </w:pPr>
            <w:r w:rsidRPr="002202CA">
              <w:rPr>
                <w:rFonts w:ascii="Calibri" w:hAnsi="Calibri" w:cs="Calibri"/>
                <w:color w:val="000000"/>
                <w:sz w:val="20"/>
              </w:rPr>
              <w:t>2016A</w:t>
            </w:r>
          </w:p>
        </w:tc>
        <w:tc>
          <w:tcPr>
            <w:tcW w:w="90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A125076" w14:textId="77777777" w:rsidR="009C05B4" w:rsidRPr="002202CA" w:rsidRDefault="009C05B4">
            <w:pPr>
              <w:jc w:val="center"/>
              <w:rPr>
                <w:rFonts w:ascii="Calibri" w:hAnsi="Calibri" w:cs="Calibri"/>
                <w:color w:val="000000"/>
                <w:sz w:val="20"/>
              </w:rPr>
            </w:pPr>
            <w:r w:rsidRPr="002202CA">
              <w:rPr>
                <w:rFonts w:ascii="Calibri" w:hAnsi="Calibri" w:cs="Calibri"/>
                <w:color w:val="000000"/>
                <w:sz w:val="20"/>
              </w:rPr>
              <w:t>2017A</w:t>
            </w:r>
          </w:p>
        </w:tc>
        <w:tc>
          <w:tcPr>
            <w:tcW w:w="90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BA58A52" w14:textId="77777777" w:rsidR="009C05B4" w:rsidRPr="002202CA" w:rsidRDefault="009C05B4">
            <w:pPr>
              <w:jc w:val="center"/>
              <w:rPr>
                <w:rFonts w:ascii="Calibri" w:hAnsi="Calibri" w:cs="Calibri"/>
                <w:color w:val="000000"/>
                <w:sz w:val="20"/>
              </w:rPr>
            </w:pPr>
            <w:r w:rsidRPr="002202CA">
              <w:rPr>
                <w:rFonts w:ascii="Calibri" w:hAnsi="Calibri" w:cs="Calibri"/>
                <w:color w:val="000000"/>
                <w:sz w:val="20"/>
              </w:rPr>
              <w:t>2018E</w:t>
            </w:r>
          </w:p>
        </w:tc>
      </w:tr>
      <w:tr w:rsidR="002202CA" w:rsidRPr="002202CA" w14:paraId="043E8CBE" w14:textId="77777777" w:rsidTr="002202CA">
        <w:trPr>
          <w:trHeight w:hRule="exact" w:val="315"/>
        </w:trPr>
        <w:tc>
          <w:tcPr>
            <w:tcW w:w="143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FD2A8FB" w14:textId="77777777" w:rsidR="009C05B4" w:rsidRPr="002202CA" w:rsidRDefault="009C05B4">
            <w:pPr>
              <w:rPr>
                <w:rFonts w:ascii="Calibri" w:hAnsi="Calibri" w:cs="Calibri"/>
                <w:color w:val="000000"/>
                <w:sz w:val="20"/>
              </w:rPr>
            </w:pPr>
            <w:r w:rsidRPr="002202CA">
              <w:rPr>
                <w:rFonts w:ascii="Calibri" w:hAnsi="Calibri" w:cs="Calibri"/>
                <w:color w:val="000000"/>
                <w:sz w:val="20"/>
              </w:rPr>
              <w:t>Price Target ($)</w:t>
            </w:r>
          </w:p>
        </w:tc>
        <w:tc>
          <w:tcPr>
            <w:tcW w:w="117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FA97835"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148.41</w:t>
            </w:r>
          </w:p>
        </w:tc>
        <w:tc>
          <w:tcPr>
            <w:tcW w:w="210" w:type="dxa"/>
            <w:tcBorders>
              <w:top w:val="nil"/>
              <w:left w:val="nil"/>
              <w:bottom w:val="nil"/>
              <w:right w:val="nil"/>
            </w:tcBorders>
            <w:shd w:val="clear" w:color="auto" w:fill="auto"/>
            <w:noWrap/>
            <w:tcMar>
              <w:top w:w="0" w:type="dxa"/>
              <w:left w:w="15" w:type="dxa"/>
              <w:bottom w:w="0" w:type="dxa"/>
              <w:right w:w="15" w:type="dxa"/>
            </w:tcMar>
            <w:vAlign w:val="bottom"/>
            <w:hideMark/>
          </w:tcPr>
          <w:p w14:paraId="7375469E" w14:textId="77777777" w:rsidR="009C05B4" w:rsidRPr="002202CA" w:rsidRDefault="009C05B4">
            <w:pPr>
              <w:jc w:val="right"/>
              <w:rPr>
                <w:rFonts w:ascii="Calibri" w:hAnsi="Calibri" w:cs="Calibri"/>
                <w:color w:val="000000"/>
                <w:sz w:val="20"/>
              </w:rPr>
            </w:pPr>
          </w:p>
        </w:tc>
        <w:tc>
          <w:tcPr>
            <w:tcW w:w="119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5231288" w14:textId="77777777" w:rsidR="009C05B4" w:rsidRPr="002202CA" w:rsidRDefault="009C05B4">
            <w:pPr>
              <w:rPr>
                <w:rFonts w:ascii="Calibri" w:hAnsi="Calibri" w:cs="Calibri"/>
                <w:color w:val="000000"/>
                <w:sz w:val="20"/>
              </w:rPr>
            </w:pPr>
            <w:r w:rsidRPr="002202CA">
              <w:rPr>
                <w:rFonts w:ascii="Calibri" w:hAnsi="Calibri" w:cs="Calibri"/>
                <w:color w:val="000000"/>
                <w:sz w:val="20"/>
              </w:rPr>
              <w:t>WACC</w:t>
            </w:r>
          </w:p>
        </w:tc>
        <w:tc>
          <w:tcPr>
            <w:tcW w:w="5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D8AE46A"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7.0%</w:t>
            </w:r>
          </w:p>
        </w:tc>
        <w:tc>
          <w:tcPr>
            <w:tcW w:w="270" w:type="dxa"/>
            <w:tcBorders>
              <w:top w:val="nil"/>
              <w:left w:val="nil"/>
              <w:bottom w:val="nil"/>
              <w:right w:val="nil"/>
            </w:tcBorders>
            <w:shd w:val="clear" w:color="auto" w:fill="auto"/>
            <w:noWrap/>
            <w:tcMar>
              <w:top w:w="0" w:type="dxa"/>
              <w:left w:w="15" w:type="dxa"/>
              <w:bottom w:w="0" w:type="dxa"/>
              <w:right w:w="15" w:type="dxa"/>
            </w:tcMar>
            <w:vAlign w:val="bottom"/>
            <w:hideMark/>
          </w:tcPr>
          <w:p w14:paraId="34699DD6" w14:textId="77777777" w:rsidR="009C05B4" w:rsidRPr="002202CA" w:rsidRDefault="009C05B4">
            <w:pPr>
              <w:jc w:val="right"/>
              <w:rPr>
                <w:rFonts w:ascii="Calibri" w:hAnsi="Calibri" w:cs="Calibri"/>
                <w:color w:val="000000"/>
                <w:sz w:val="20"/>
              </w:rPr>
            </w:pPr>
          </w:p>
        </w:tc>
        <w:tc>
          <w:tcPr>
            <w:tcW w:w="132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2D8E0B9" w14:textId="77777777" w:rsidR="009C05B4" w:rsidRPr="002202CA" w:rsidRDefault="009C05B4">
            <w:pPr>
              <w:jc w:val="both"/>
              <w:rPr>
                <w:rFonts w:ascii="Calibri" w:hAnsi="Calibri" w:cs="Calibri"/>
                <w:color w:val="000000"/>
                <w:sz w:val="20"/>
              </w:rPr>
            </w:pPr>
            <w:r w:rsidRPr="002202CA">
              <w:rPr>
                <w:rFonts w:ascii="Calibri" w:hAnsi="Calibri" w:cs="Calibri"/>
                <w:color w:val="000000"/>
                <w:sz w:val="20"/>
              </w:rPr>
              <w:t>Revenue (mil)</w:t>
            </w:r>
          </w:p>
        </w:tc>
        <w:tc>
          <w:tcPr>
            <w:tcW w:w="99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5320C12"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10,780</w:t>
            </w:r>
          </w:p>
        </w:tc>
        <w:tc>
          <w:tcPr>
            <w:tcW w:w="99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C05F9D6"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11,263</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C4E64C8"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11,826</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67CFE90"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13,124</w:t>
            </w:r>
          </w:p>
        </w:tc>
      </w:tr>
      <w:tr w:rsidR="002202CA" w:rsidRPr="002202CA" w14:paraId="726768FC" w14:textId="77777777" w:rsidTr="002202CA">
        <w:trPr>
          <w:trHeight w:hRule="exact" w:val="315"/>
        </w:trPr>
        <w:tc>
          <w:tcPr>
            <w:tcW w:w="143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EAA11DD" w14:textId="77777777" w:rsidR="009C05B4" w:rsidRPr="002202CA" w:rsidRDefault="009C05B4">
            <w:pPr>
              <w:rPr>
                <w:rFonts w:ascii="Calibri" w:hAnsi="Calibri" w:cs="Calibri"/>
                <w:color w:val="000000"/>
                <w:sz w:val="20"/>
              </w:rPr>
            </w:pPr>
            <w:r w:rsidRPr="002202CA">
              <w:rPr>
                <w:rFonts w:ascii="Calibri" w:hAnsi="Calibri" w:cs="Calibri"/>
                <w:color w:val="000000"/>
                <w:sz w:val="20"/>
              </w:rPr>
              <w:t>52 WK H-L</w:t>
            </w:r>
          </w:p>
        </w:tc>
        <w:tc>
          <w:tcPr>
            <w:tcW w:w="117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D7C3802"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126.99-75.83</w:t>
            </w:r>
          </w:p>
        </w:tc>
        <w:tc>
          <w:tcPr>
            <w:tcW w:w="210" w:type="dxa"/>
            <w:tcBorders>
              <w:top w:val="nil"/>
              <w:left w:val="nil"/>
              <w:bottom w:val="nil"/>
              <w:right w:val="nil"/>
            </w:tcBorders>
            <w:shd w:val="clear" w:color="auto" w:fill="auto"/>
            <w:noWrap/>
            <w:tcMar>
              <w:top w:w="0" w:type="dxa"/>
              <w:left w:w="15" w:type="dxa"/>
              <w:bottom w:w="0" w:type="dxa"/>
              <w:right w:w="15" w:type="dxa"/>
            </w:tcMar>
            <w:vAlign w:val="bottom"/>
            <w:hideMark/>
          </w:tcPr>
          <w:p w14:paraId="717D6DC7" w14:textId="77777777" w:rsidR="009C05B4" w:rsidRPr="002202CA" w:rsidRDefault="009C05B4">
            <w:pPr>
              <w:jc w:val="right"/>
              <w:rPr>
                <w:rFonts w:ascii="Calibri" w:hAnsi="Calibri" w:cs="Calibri"/>
                <w:color w:val="000000"/>
                <w:sz w:val="20"/>
              </w:rPr>
            </w:pPr>
          </w:p>
        </w:tc>
        <w:tc>
          <w:tcPr>
            <w:tcW w:w="119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3E96F50" w14:textId="77777777" w:rsidR="009C05B4" w:rsidRPr="002202CA" w:rsidRDefault="009C05B4">
            <w:pPr>
              <w:rPr>
                <w:rFonts w:ascii="Calibri" w:hAnsi="Calibri" w:cs="Calibri"/>
                <w:color w:val="000000"/>
                <w:sz w:val="20"/>
              </w:rPr>
            </w:pPr>
            <w:r w:rsidRPr="002202CA">
              <w:rPr>
                <w:rFonts w:ascii="Calibri" w:hAnsi="Calibri" w:cs="Calibri"/>
                <w:color w:val="000000"/>
                <w:sz w:val="20"/>
              </w:rPr>
              <w:t>Debt/Equity</w:t>
            </w:r>
          </w:p>
        </w:tc>
        <w:tc>
          <w:tcPr>
            <w:tcW w:w="5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D60525D"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81.14</w:t>
            </w:r>
          </w:p>
        </w:tc>
        <w:tc>
          <w:tcPr>
            <w:tcW w:w="270" w:type="dxa"/>
            <w:tcBorders>
              <w:top w:val="nil"/>
              <w:left w:val="nil"/>
              <w:bottom w:val="nil"/>
              <w:right w:val="nil"/>
            </w:tcBorders>
            <w:shd w:val="clear" w:color="auto" w:fill="auto"/>
            <w:noWrap/>
            <w:tcMar>
              <w:top w:w="0" w:type="dxa"/>
              <w:left w:w="15" w:type="dxa"/>
              <w:bottom w:w="0" w:type="dxa"/>
              <w:right w:w="15" w:type="dxa"/>
            </w:tcMar>
            <w:vAlign w:val="bottom"/>
            <w:hideMark/>
          </w:tcPr>
          <w:p w14:paraId="53448ED4" w14:textId="77777777" w:rsidR="009C05B4" w:rsidRPr="002202CA" w:rsidRDefault="009C05B4">
            <w:pPr>
              <w:jc w:val="right"/>
              <w:rPr>
                <w:rFonts w:ascii="Calibri" w:hAnsi="Calibri" w:cs="Calibri"/>
                <w:color w:val="000000"/>
                <w:sz w:val="20"/>
              </w:rPr>
            </w:pPr>
          </w:p>
        </w:tc>
        <w:tc>
          <w:tcPr>
            <w:tcW w:w="132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8283B14" w14:textId="77777777" w:rsidR="009C05B4" w:rsidRPr="002202CA" w:rsidRDefault="009C05B4">
            <w:pPr>
              <w:rPr>
                <w:rFonts w:ascii="Calibri" w:hAnsi="Calibri" w:cs="Calibri"/>
                <w:color w:val="000000"/>
                <w:sz w:val="20"/>
              </w:rPr>
            </w:pPr>
            <w:r w:rsidRPr="002202CA">
              <w:rPr>
                <w:rFonts w:ascii="Calibri" w:hAnsi="Calibri" w:cs="Calibri"/>
                <w:color w:val="000000"/>
                <w:sz w:val="20"/>
              </w:rPr>
              <w:t>Gross Margin</w:t>
            </w:r>
          </w:p>
        </w:tc>
        <w:tc>
          <w:tcPr>
            <w:tcW w:w="99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A6F1C80"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80.5%</w:t>
            </w:r>
          </w:p>
        </w:tc>
        <w:tc>
          <w:tcPr>
            <w:tcW w:w="99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3A510BF"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80.6%</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E805CB5"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79.5%</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D71661E"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79.0%</w:t>
            </w:r>
          </w:p>
        </w:tc>
      </w:tr>
      <w:tr w:rsidR="002202CA" w:rsidRPr="002202CA" w14:paraId="0AA8530D" w14:textId="77777777" w:rsidTr="002202CA">
        <w:trPr>
          <w:trHeight w:hRule="exact" w:val="315"/>
        </w:trPr>
        <w:tc>
          <w:tcPr>
            <w:tcW w:w="143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4336E75" w14:textId="77777777" w:rsidR="009C05B4" w:rsidRPr="002202CA" w:rsidRDefault="009C05B4">
            <w:pPr>
              <w:rPr>
                <w:rFonts w:ascii="Calibri" w:hAnsi="Calibri" w:cs="Calibri"/>
                <w:color w:val="000000"/>
                <w:sz w:val="20"/>
              </w:rPr>
            </w:pPr>
            <w:r w:rsidRPr="002202CA">
              <w:rPr>
                <w:rFonts w:ascii="Calibri" w:hAnsi="Calibri" w:cs="Calibri"/>
                <w:color w:val="000000"/>
                <w:sz w:val="20"/>
              </w:rPr>
              <w:t>Market Cap (mil)</w:t>
            </w:r>
          </w:p>
        </w:tc>
        <w:tc>
          <w:tcPr>
            <w:tcW w:w="117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42128FD"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46,078</w:t>
            </w:r>
          </w:p>
        </w:tc>
        <w:tc>
          <w:tcPr>
            <w:tcW w:w="210" w:type="dxa"/>
            <w:tcBorders>
              <w:top w:val="nil"/>
              <w:left w:val="nil"/>
              <w:bottom w:val="nil"/>
              <w:right w:val="nil"/>
            </w:tcBorders>
            <w:shd w:val="clear" w:color="auto" w:fill="auto"/>
            <w:noWrap/>
            <w:tcMar>
              <w:top w:w="0" w:type="dxa"/>
              <w:left w:w="15" w:type="dxa"/>
              <w:bottom w:w="0" w:type="dxa"/>
              <w:right w:w="15" w:type="dxa"/>
            </w:tcMar>
            <w:vAlign w:val="bottom"/>
            <w:hideMark/>
          </w:tcPr>
          <w:p w14:paraId="472E4B60" w14:textId="77777777" w:rsidR="009C05B4" w:rsidRPr="002202CA" w:rsidRDefault="009C05B4">
            <w:pPr>
              <w:jc w:val="right"/>
              <w:rPr>
                <w:rFonts w:ascii="Calibri" w:hAnsi="Calibri" w:cs="Calibri"/>
                <w:color w:val="000000"/>
                <w:sz w:val="20"/>
              </w:rPr>
            </w:pPr>
          </w:p>
        </w:tc>
        <w:tc>
          <w:tcPr>
            <w:tcW w:w="119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60E7711" w14:textId="77777777" w:rsidR="009C05B4" w:rsidRPr="002202CA" w:rsidRDefault="009C05B4">
            <w:pPr>
              <w:rPr>
                <w:rFonts w:ascii="Calibri" w:hAnsi="Calibri" w:cs="Calibri"/>
                <w:color w:val="000000"/>
                <w:sz w:val="20"/>
              </w:rPr>
            </w:pPr>
            <w:r w:rsidRPr="002202CA">
              <w:rPr>
                <w:rFonts w:ascii="Calibri" w:hAnsi="Calibri" w:cs="Calibri"/>
                <w:color w:val="000000"/>
                <w:sz w:val="20"/>
              </w:rPr>
              <w:t>Current Ratio</w:t>
            </w:r>
          </w:p>
        </w:tc>
        <w:tc>
          <w:tcPr>
            <w:tcW w:w="5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3FAB52D"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1.76</w:t>
            </w:r>
          </w:p>
        </w:tc>
        <w:tc>
          <w:tcPr>
            <w:tcW w:w="270" w:type="dxa"/>
            <w:tcBorders>
              <w:top w:val="nil"/>
              <w:left w:val="nil"/>
              <w:bottom w:val="nil"/>
              <w:right w:val="nil"/>
            </w:tcBorders>
            <w:shd w:val="clear" w:color="auto" w:fill="auto"/>
            <w:noWrap/>
            <w:tcMar>
              <w:top w:w="0" w:type="dxa"/>
              <w:left w:w="15" w:type="dxa"/>
              <w:bottom w:w="0" w:type="dxa"/>
              <w:right w:w="15" w:type="dxa"/>
            </w:tcMar>
            <w:vAlign w:val="bottom"/>
            <w:hideMark/>
          </w:tcPr>
          <w:p w14:paraId="44052556" w14:textId="77777777" w:rsidR="009C05B4" w:rsidRPr="002202CA" w:rsidRDefault="009C05B4">
            <w:pPr>
              <w:jc w:val="right"/>
              <w:rPr>
                <w:rFonts w:ascii="Calibri" w:hAnsi="Calibri" w:cs="Calibri"/>
                <w:color w:val="000000"/>
                <w:sz w:val="20"/>
              </w:rPr>
            </w:pPr>
          </w:p>
        </w:tc>
        <w:tc>
          <w:tcPr>
            <w:tcW w:w="132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476319B" w14:textId="77777777" w:rsidR="009C05B4" w:rsidRPr="002202CA" w:rsidRDefault="009C05B4">
            <w:pPr>
              <w:rPr>
                <w:rFonts w:ascii="Calibri" w:hAnsi="Calibri" w:cs="Calibri"/>
                <w:color w:val="000000"/>
                <w:sz w:val="20"/>
              </w:rPr>
            </w:pPr>
            <w:r w:rsidRPr="002202CA">
              <w:rPr>
                <w:rFonts w:ascii="Calibri" w:hAnsi="Calibri" w:cs="Calibri"/>
                <w:color w:val="000000"/>
                <w:sz w:val="20"/>
              </w:rPr>
              <w:t>EBITDA Margin</w:t>
            </w:r>
          </w:p>
        </w:tc>
        <w:tc>
          <w:tcPr>
            <w:tcW w:w="99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559C73A"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19.0%</w:t>
            </w:r>
          </w:p>
        </w:tc>
        <w:tc>
          <w:tcPr>
            <w:tcW w:w="99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03CAD39"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18.9%</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2CE438B"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19.8%</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E01EB2F"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20.6%</w:t>
            </w:r>
          </w:p>
        </w:tc>
      </w:tr>
      <w:tr w:rsidR="002202CA" w:rsidRPr="002202CA" w14:paraId="38BBF3EE" w14:textId="77777777" w:rsidTr="002202CA">
        <w:trPr>
          <w:trHeight w:hRule="exact" w:val="315"/>
        </w:trPr>
        <w:tc>
          <w:tcPr>
            <w:tcW w:w="143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686DF8E" w14:textId="77777777" w:rsidR="009C05B4" w:rsidRPr="002202CA" w:rsidRDefault="009C05B4">
            <w:pPr>
              <w:rPr>
                <w:rFonts w:ascii="Calibri" w:hAnsi="Calibri" w:cs="Calibri"/>
                <w:color w:val="000000"/>
                <w:sz w:val="20"/>
              </w:rPr>
            </w:pPr>
            <w:r w:rsidRPr="002202CA">
              <w:rPr>
                <w:rFonts w:ascii="Calibri" w:hAnsi="Calibri" w:cs="Calibri"/>
                <w:color w:val="000000"/>
                <w:sz w:val="20"/>
              </w:rPr>
              <w:t>Shares Out. (mil)</w:t>
            </w:r>
          </w:p>
        </w:tc>
        <w:tc>
          <w:tcPr>
            <w:tcW w:w="117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F3B2F84"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224.8</w:t>
            </w:r>
          </w:p>
        </w:tc>
        <w:tc>
          <w:tcPr>
            <w:tcW w:w="210" w:type="dxa"/>
            <w:tcBorders>
              <w:top w:val="nil"/>
              <w:left w:val="nil"/>
              <w:bottom w:val="nil"/>
              <w:right w:val="nil"/>
            </w:tcBorders>
            <w:shd w:val="clear" w:color="auto" w:fill="auto"/>
            <w:noWrap/>
            <w:tcMar>
              <w:top w:w="0" w:type="dxa"/>
              <w:left w:w="15" w:type="dxa"/>
              <w:bottom w:w="0" w:type="dxa"/>
              <w:right w:w="15" w:type="dxa"/>
            </w:tcMar>
            <w:vAlign w:val="bottom"/>
            <w:hideMark/>
          </w:tcPr>
          <w:p w14:paraId="0C9AA835" w14:textId="77777777" w:rsidR="009C05B4" w:rsidRPr="002202CA" w:rsidRDefault="009C05B4">
            <w:pPr>
              <w:jc w:val="right"/>
              <w:rPr>
                <w:rFonts w:ascii="Calibri" w:hAnsi="Calibri" w:cs="Calibri"/>
                <w:color w:val="000000"/>
                <w:sz w:val="20"/>
              </w:rPr>
            </w:pPr>
          </w:p>
        </w:tc>
        <w:tc>
          <w:tcPr>
            <w:tcW w:w="119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433B726" w14:textId="77777777" w:rsidR="009C05B4" w:rsidRPr="002202CA" w:rsidRDefault="009C05B4">
            <w:pPr>
              <w:rPr>
                <w:rFonts w:ascii="Calibri" w:hAnsi="Calibri" w:cs="Calibri"/>
                <w:color w:val="000000"/>
                <w:sz w:val="20"/>
              </w:rPr>
            </w:pPr>
            <w:r w:rsidRPr="002202CA">
              <w:rPr>
                <w:rFonts w:ascii="Calibri" w:hAnsi="Calibri" w:cs="Calibri"/>
                <w:color w:val="000000"/>
                <w:sz w:val="20"/>
              </w:rPr>
              <w:t>ROA</w:t>
            </w:r>
          </w:p>
        </w:tc>
        <w:tc>
          <w:tcPr>
            <w:tcW w:w="5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F05E1A0"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12.8%</w:t>
            </w:r>
          </w:p>
        </w:tc>
        <w:tc>
          <w:tcPr>
            <w:tcW w:w="270" w:type="dxa"/>
            <w:tcBorders>
              <w:top w:val="nil"/>
              <w:left w:val="nil"/>
              <w:bottom w:val="nil"/>
              <w:right w:val="nil"/>
            </w:tcBorders>
            <w:shd w:val="clear" w:color="auto" w:fill="auto"/>
            <w:noWrap/>
            <w:tcMar>
              <w:top w:w="0" w:type="dxa"/>
              <w:left w:w="15" w:type="dxa"/>
              <w:bottom w:w="0" w:type="dxa"/>
              <w:right w:w="15" w:type="dxa"/>
            </w:tcMar>
            <w:vAlign w:val="bottom"/>
            <w:hideMark/>
          </w:tcPr>
          <w:p w14:paraId="4FADB980" w14:textId="77777777" w:rsidR="009C05B4" w:rsidRPr="002202CA" w:rsidRDefault="009C05B4">
            <w:pPr>
              <w:jc w:val="right"/>
              <w:rPr>
                <w:rFonts w:ascii="Calibri" w:hAnsi="Calibri" w:cs="Calibri"/>
                <w:color w:val="000000"/>
                <w:sz w:val="20"/>
              </w:rPr>
            </w:pPr>
          </w:p>
        </w:tc>
        <w:tc>
          <w:tcPr>
            <w:tcW w:w="132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6B23F70" w14:textId="77777777" w:rsidR="009C05B4" w:rsidRPr="002202CA" w:rsidRDefault="009C05B4">
            <w:pPr>
              <w:rPr>
                <w:rFonts w:ascii="Calibri" w:hAnsi="Calibri" w:cs="Calibri"/>
                <w:color w:val="000000"/>
                <w:sz w:val="20"/>
              </w:rPr>
            </w:pPr>
            <w:r w:rsidRPr="002202CA">
              <w:rPr>
                <w:rFonts w:ascii="Calibri" w:hAnsi="Calibri" w:cs="Calibri"/>
                <w:color w:val="000000"/>
                <w:sz w:val="20"/>
              </w:rPr>
              <w:t>EPS</w:t>
            </w:r>
          </w:p>
        </w:tc>
        <w:tc>
          <w:tcPr>
            <w:tcW w:w="99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F3880A9"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3.05</w:t>
            </w:r>
          </w:p>
        </w:tc>
        <w:tc>
          <w:tcPr>
            <w:tcW w:w="99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5AC8620"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3.2</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6A22BFA"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3.47</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67DF20E"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4.18</w:t>
            </w:r>
          </w:p>
        </w:tc>
      </w:tr>
      <w:tr w:rsidR="002202CA" w:rsidRPr="002202CA" w14:paraId="6F22D3C9" w14:textId="77777777" w:rsidTr="002202CA">
        <w:trPr>
          <w:trHeight w:hRule="exact" w:val="315"/>
        </w:trPr>
        <w:tc>
          <w:tcPr>
            <w:tcW w:w="143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D89BA12" w14:textId="77777777" w:rsidR="009C05B4" w:rsidRPr="002202CA" w:rsidRDefault="009C05B4">
            <w:pPr>
              <w:rPr>
                <w:rFonts w:ascii="Calibri" w:hAnsi="Calibri" w:cs="Calibri"/>
                <w:color w:val="000000"/>
                <w:sz w:val="20"/>
              </w:rPr>
            </w:pPr>
            <w:r w:rsidRPr="002202CA">
              <w:rPr>
                <w:rFonts w:ascii="Calibri" w:hAnsi="Calibri" w:cs="Calibri"/>
                <w:color w:val="000000"/>
                <w:sz w:val="20"/>
              </w:rPr>
              <w:t>Dividend ($)</w:t>
            </w:r>
          </w:p>
        </w:tc>
        <w:tc>
          <w:tcPr>
            <w:tcW w:w="117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7B3F864"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1.36</w:t>
            </w:r>
          </w:p>
        </w:tc>
        <w:tc>
          <w:tcPr>
            <w:tcW w:w="210" w:type="dxa"/>
            <w:tcBorders>
              <w:top w:val="nil"/>
              <w:left w:val="nil"/>
              <w:bottom w:val="nil"/>
              <w:right w:val="nil"/>
            </w:tcBorders>
            <w:shd w:val="clear" w:color="auto" w:fill="auto"/>
            <w:noWrap/>
            <w:tcMar>
              <w:top w:w="0" w:type="dxa"/>
              <w:left w:w="15" w:type="dxa"/>
              <w:bottom w:w="0" w:type="dxa"/>
              <w:right w:w="15" w:type="dxa"/>
            </w:tcMar>
            <w:vAlign w:val="bottom"/>
            <w:hideMark/>
          </w:tcPr>
          <w:p w14:paraId="5E4CE27A" w14:textId="77777777" w:rsidR="009C05B4" w:rsidRPr="002202CA" w:rsidRDefault="009C05B4">
            <w:pPr>
              <w:jc w:val="right"/>
              <w:rPr>
                <w:rFonts w:ascii="Calibri" w:hAnsi="Calibri" w:cs="Calibri"/>
                <w:color w:val="000000"/>
                <w:sz w:val="20"/>
              </w:rPr>
            </w:pPr>
          </w:p>
        </w:tc>
        <w:tc>
          <w:tcPr>
            <w:tcW w:w="119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6994D78" w14:textId="77777777" w:rsidR="009C05B4" w:rsidRPr="002202CA" w:rsidRDefault="009C05B4">
            <w:pPr>
              <w:rPr>
                <w:rFonts w:ascii="Calibri" w:hAnsi="Calibri" w:cs="Calibri"/>
                <w:color w:val="000000"/>
                <w:sz w:val="20"/>
              </w:rPr>
            </w:pPr>
            <w:r w:rsidRPr="002202CA">
              <w:rPr>
                <w:rFonts w:ascii="Calibri" w:hAnsi="Calibri" w:cs="Calibri"/>
                <w:color w:val="000000"/>
                <w:sz w:val="20"/>
              </w:rPr>
              <w:t>ROE</w:t>
            </w:r>
          </w:p>
        </w:tc>
        <w:tc>
          <w:tcPr>
            <w:tcW w:w="5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23DC4B2"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33.0%</w:t>
            </w:r>
          </w:p>
        </w:tc>
        <w:tc>
          <w:tcPr>
            <w:tcW w:w="270" w:type="dxa"/>
            <w:tcBorders>
              <w:top w:val="nil"/>
              <w:left w:val="nil"/>
              <w:bottom w:val="nil"/>
              <w:right w:val="nil"/>
            </w:tcBorders>
            <w:shd w:val="clear" w:color="auto" w:fill="auto"/>
            <w:noWrap/>
            <w:tcMar>
              <w:top w:w="0" w:type="dxa"/>
              <w:left w:w="15" w:type="dxa"/>
              <w:bottom w:w="0" w:type="dxa"/>
              <w:right w:w="15" w:type="dxa"/>
            </w:tcMar>
            <w:vAlign w:val="bottom"/>
            <w:hideMark/>
          </w:tcPr>
          <w:p w14:paraId="16AF9AD0" w14:textId="77777777" w:rsidR="009C05B4" w:rsidRPr="002202CA" w:rsidRDefault="009C05B4">
            <w:pPr>
              <w:jc w:val="right"/>
              <w:rPr>
                <w:rFonts w:ascii="Calibri" w:hAnsi="Calibri" w:cs="Calibri"/>
                <w:color w:val="000000"/>
                <w:sz w:val="20"/>
              </w:rPr>
            </w:pPr>
          </w:p>
        </w:tc>
        <w:tc>
          <w:tcPr>
            <w:tcW w:w="132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9D2CF3D" w14:textId="77777777" w:rsidR="009C05B4" w:rsidRPr="002202CA" w:rsidRDefault="009C05B4">
            <w:pPr>
              <w:rPr>
                <w:rFonts w:ascii="Calibri" w:hAnsi="Calibri" w:cs="Calibri"/>
                <w:color w:val="000000"/>
                <w:sz w:val="20"/>
              </w:rPr>
            </w:pPr>
            <w:r w:rsidRPr="002202CA">
              <w:rPr>
                <w:rFonts w:ascii="Calibri" w:hAnsi="Calibri" w:cs="Calibri"/>
                <w:color w:val="000000"/>
                <w:sz w:val="20"/>
              </w:rPr>
              <w:t>P/E</w:t>
            </w:r>
          </w:p>
        </w:tc>
        <w:tc>
          <w:tcPr>
            <w:tcW w:w="99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7655869"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30.25</w:t>
            </w:r>
          </w:p>
        </w:tc>
        <w:tc>
          <w:tcPr>
            <w:tcW w:w="99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5FD9AA5"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28.81</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D22985D"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25.89</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33BFB41"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29.94</w:t>
            </w:r>
          </w:p>
        </w:tc>
      </w:tr>
      <w:tr w:rsidR="002202CA" w:rsidRPr="002202CA" w14:paraId="637671DD" w14:textId="77777777" w:rsidTr="002202CA">
        <w:trPr>
          <w:trHeight w:hRule="exact" w:val="315"/>
        </w:trPr>
        <w:tc>
          <w:tcPr>
            <w:tcW w:w="143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623CACB" w14:textId="77777777" w:rsidR="009C05B4" w:rsidRPr="002202CA" w:rsidRDefault="009C05B4">
            <w:pPr>
              <w:rPr>
                <w:rFonts w:ascii="Calibri" w:hAnsi="Calibri" w:cs="Calibri"/>
                <w:color w:val="000000"/>
                <w:sz w:val="20"/>
              </w:rPr>
            </w:pPr>
            <w:r w:rsidRPr="002202CA">
              <w:rPr>
                <w:rFonts w:ascii="Calibri" w:hAnsi="Calibri" w:cs="Calibri"/>
                <w:color w:val="000000"/>
                <w:sz w:val="20"/>
              </w:rPr>
              <w:t>Yield (%)</w:t>
            </w:r>
          </w:p>
        </w:tc>
        <w:tc>
          <w:tcPr>
            <w:tcW w:w="117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627A27D"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1.21%</w:t>
            </w:r>
          </w:p>
        </w:tc>
        <w:tc>
          <w:tcPr>
            <w:tcW w:w="210" w:type="dxa"/>
            <w:tcBorders>
              <w:top w:val="nil"/>
              <w:left w:val="nil"/>
              <w:bottom w:val="nil"/>
              <w:right w:val="nil"/>
            </w:tcBorders>
            <w:shd w:val="clear" w:color="auto" w:fill="auto"/>
            <w:noWrap/>
            <w:tcMar>
              <w:top w:w="0" w:type="dxa"/>
              <w:left w:w="15" w:type="dxa"/>
              <w:bottom w:w="0" w:type="dxa"/>
              <w:right w:w="15" w:type="dxa"/>
            </w:tcMar>
            <w:vAlign w:val="bottom"/>
            <w:hideMark/>
          </w:tcPr>
          <w:p w14:paraId="79917FF4" w14:textId="77777777" w:rsidR="009C05B4" w:rsidRPr="002202CA" w:rsidRDefault="009C05B4">
            <w:pPr>
              <w:jc w:val="right"/>
              <w:rPr>
                <w:rFonts w:ascii="Calibri" w:hAnsi="Calibri" w:cs="Calibri"/>
                <w:color w:val="000000"/>
                <w:sz w:val="20"/>
              </w:rPr>
            </w:pPr>
          </w:p>
        </w:tc>
        <w:tc>
          <w:tcPr>
            <w:tcW w:w="119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DE6BF15" w14:textId="77777777" w:rsidR="009C05B4" w:rsidRPr="002202CA" w:rsidRDefault="009C05B4">
            <w:pPr>
              <w:rPr>
                <w:rFonts w:ascii="Calibri" w:hAnsi="Calibri" w:cs="Calibri"/>
                <w:color w:val="000000"/>
                <w:sz w:val="20"/>
              </w:rPr>
            </w:pPr>
            <w:r w:rsidRPr="002202CA">
              <w:rPr>
                <w:rFonts w:ascii="Calibri" w:hAnsi="Calibri" w:cs="Calibri"/>
                <w:color w:val="000000"/>
                <w:sz w:val="20"/>
              </w:rPr>
              <w:t>ROIC</w:t>
            </w:r>
          </w:p>
        </w:tc>
        <w:tc>
          <w:tcPr>
            <w:tcW w:w="5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83D63D0"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19.9%</w:t>
            </w:r>
          </w:p>
        </w:tc>
        <w:tc>
          <w:tcPr>
            <w:tcW w:w="270" w:type="dxa"/>
            <w:tcBorders>
              <w:top w:val="nil"/>
              <w:left w:val="nil"/>
              <w:bottom w:val="nil"/>
              <w:right w:val="nil"/>
            </w:tcBorders>
            <w:shd w:val="clear" w:color="auto" w:fill="auto"/>
            <w:noWrap/>
            <w:tcMar>
              <w:top w:w="0" w:type="dxa"/>
              <w:left w:w="15" w:type="dxa"/>
              <w:bottom w:w="0" w:type="dxa"/>
              <w:right w:w="15" w:type="dxa"/>
            </w:tcMar>
            <w:vAlign w:val="bottom"/>
            <w:hideMark/>
          </w:tcPr>
          <w:p w14:paraId="662B24F0" w14:textId="77777777" w:rsidR="009C05B4" w:rsidRPr="002202CA" w:rsidRDefault="009C05B4">
            <w:pPr>
              <w:jc w:val="right"/>
              <w:rPr>
                <w:rFonts w:ascii="Calibri" w:hAnsi="Calibri" w:cs="Calibri"/>
                <w:color w:val="000000"/>
                <w:sz w:val="20"/>
              </w:rPr>
            </w:pPr>
          </w:p>
        </w:tc>
        <w:tc>
          <w:tcPr>
            <w:tcW w:w="132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034E720" w14:textId="77777777" w:rsidR="009C05B4" w:rsidRPr="002202CA" w:rsidRDefault="009C05B4">
            <w:pPr>
              <w:rPr>
                <w:rFonts w:ascii="Calibri" w:hAnsi="Calibri" w:cs="Calibri"/>
                <w:color w:val="000000"/>
                <w:sz w:val="20"/>
              </w:rPr>
            </w:pPr>
            <w:r w:rsidRPr="002202CA">
              <w:rPr>
                <w:rFonts w:ascii="Calibri" w:hAnsi="Calibri" w:cs="Calibri"/>
                <w:color w:val="000000"/>
                <w:sz w:val="20"/>
              </w:rPr>
              <w:t>EV/EBITDA</w:t>
            </w:r>
          </w:p>
        </w:tc>
        <w:tc>
          <w:tcPr>
            <w:tcW w:w="99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8938B98"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16.18</w:t>
            </w:r>
          </w:p>
        </w:tc>
        <w:tc>
          <w:tcPr>
            <w:tcW w:w="99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F5F1F4F"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16.96</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F40F26A"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17.24</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9A0A8BF" w14:textId="77777777" w:rsidR="009C05B4" w:rsidRPr="002202CA" w:rsidRDefault="009C05B4">
            <w:pPr>
              <w:jc w:val="right"/>
              <w:rPr>
                <w:rFonts w:ascii="Calibri" w:hAnsi="Calibri" w:cs="Calibri"/>
                <w:color w:val="000000"/>
                <w:sz w:val="20"/>
              </w:rPr>
            </w:pPr>
            <w:r w:rsidRPr="002202CA">
              <w:rPr>
                <w:rFonts w:ascii="Calibri" w:hAnsi="Calibri" w:cs="Calibri"/>
                <w:color w:val="000000"/>
                <w:sz w:val="20"/>
              </w:rPr>
              <w:t>17.85</w:t>
            </w:r>
          </w:p>
        </w:tc>
      </w:tr>
    </w:tbl>
    <w:p w14:paraId="71376769" w14:textId="05412742" w:rsidR="005F66B3" w:rsidRPr="00E26817" w:rsidRDefault="00024678" w:rsidP="00E26817">
      <w:pPr>
        <w:rPr>
          <w:b/>
        </w:rPr>
      </w:pPr>
      <w:r>
        <w:rPr>
          <w:b/>
        </w:rPr>
        <w:br/>
      </w:r>
      <w:r w:rsidR="001E43D5" w:rsidRPr="00390018">
        <w:rPr>
          <w:b/>
        </w:rPr>
        <w:t>Recommendation</w:t>
      </w:r>
      <w:r w:rsidR="00E26817">
        <w:rPr>
          <w:b/>
        </w:rPr>
        <w:br/>
      </w:r>
      <w:r w:rsidR="005F66B3" w:rsidRPr="005F66B3">
        <w:t xml:space="preserve">With an intrinsic target </w:t>
      </w:r>
      <w:r w:rsidR="005F66B3">
        <w:t>price</w:t>
      </w:r>
      <w:r w:rsidR="005F66B3" w:rsidRPr="005F66B3">
        <w:t xml:space="preserve"> of $</w:t>
      </w:r>
      <w:r w:rsidR="005F66B3">
        <w:t>148.41</w:t>
      </w:r>
      <w:r w:rsidR="005F66B3" w:rsidRPr="005F66B3">
        <w:t xml:space="preserve"> and an upside potential of 1</w:t>
      </w:r>
      <w:r w:rsidR="005F66B3">
        <w:t>9</w:t>
      </w:r>
      <w:r w:rsidR="005F66B3" w:rsidRPr="005F66B3">
        <w:t xml:space="preserve">%, we recommend a buy rating for </w:t>
      </w:r>
      <w:r w:rsidR="005F66B3">
        <w:t xml:space="preserve">Estee Lauder.  Over the past several years Estee Lauder has demonstrated steady growth in revenue and net profit, and we expect this to continue in the future.  This growth has been driven by the expansion of Estee Lauder on a global scale as well as the expansion of their product lines.  The cosmetic industry has seen </w:t>
      </w:r>
      <w:r w:rsidR="00805D28">
        <w:t>a bump in recent years as online makeup tutorials are encouraging new exploration and beauty products are being used by a wider range of people.</w:t>
      </w:r>
      <w:r w:rsidR="00D5522C">
        <w:t xml:space="preserve">  We also believe Estee Lauder’s global operations will help them grow as a company.  Given that they operate globally</w:t>
      </w:r>
      <w:r w:rsidR="00EA66EA">
        <w:t>,</w:t>
      </w:r>
      <w:r w:rsidR="00D5522C">
        <w:t xml:space="preserve"> they are not just dependent on one economy to see growth but have diversified throughout many regions of the world.  Estee Lauder has also made acquisitions to grow the company recently.  Beginning in 2014 the company started acquiring smaller cosmetic lines that were receiving a lot of attention in the market especially from makeup tutorials.  We think many of these recent acquisitions have not hit their peak growth yet, and Estee Lauder will be able to benefit from the continued growth of these lines in the coming years.  The acquisitions of these smaller makeup brands </w:t>
      </w:r>
      <w:r w:rsidR="00276F0A">
        <w:t>have</w:t>
      </w:r>
      <w:r w:rsidR="00D5522C">
        <w:t xml:space="preserve"> allowed Estee Lauder to diversify their product line.  They no longer just sell pricey makeup that appeals to an older</w:t>
      </w:r>
      <w:r w:rsidR="00276F0A">
        <w:t>,</w:t>
      </w:r>
      <w:r w:rsidR="00D5522C">
        <w:t xml:space="preserve"> </w:t>
      </w:r>
      <w:r w:rsidR="00276F0A">
        <w:t>wealthier</w:t>
      </w:r>
      <w:r w:rsidR="00D5522C">
        <w:t xml:space="preserve"> population.  They have expanded into more hip lines such as Smash Box that will draw in a new generation of buyers who see makeup as more of an art.  We think this younger population will drive revenue up for Estee Lauder as they buy more cosmetics than previously to stay up to date with the latest trends.  Given Estee Lauder</w:t>
      </w:r>
      <w:r w:rsidR="00276F0A">
        <w:t>’</w:t>
      </w:r>
      <w:r w:rsidR="00D5522C">
        <w:t>s innovative approach to the makeup industry</w:t>
      </w:r>
      <w:r w:rsidR="00E26817">
        <w:t xml:space="preserve"> and their corporate responsibility of not testing on animals, we think their products will remain popular among both older and younger generations.</w:t>
      </w:r>
    </w:p>
    <w:p w14:paraId="778C1CD3" w14:textId="77777777" w:rsidR="00EC21AB" w:rsidRDefault="00EC21AB">
      <w:pPr>
        <w:rPr>
          <w:b/>
        </w:rPr>
      </w:pPr>
    </w:p>
    <w:p w14:paraId="25F51459" w14:textId="39FF5B65" w:rsidR="001E43D5" w:rsidRPr="00390018" w:rsidRDefault="001E43D5" w:rsidP="008A5D9F">
      <w:pPr>
        <w:spacing w:after="120"/>
        <w:rPr>
          <w:b/>
        </w:rPr>
      </w:pPr>
      <w:r w:rsidRPr="00390018">
        <w:rPr>
          <w:b/>
        </w:rPr>
        <w:lastRenderedPageBreak/>
        <w:t>Investment Thesis</w:t>
      </w:r>
    </w:p>
    <w:p w14:paraId="14620C35" w14:textId="49ED2669" w:rsidR="00986B79" w:rsidRPr="00C0092F" w:rsidRDefault="00986B79" w:rsidP="00986B79">
      <w:pPr>
        <w:pStyle w:val="ListParagraph"/>
        <w:numPr>
          <w:ilvl w:val="0"/>
          <w:numId w:val="1"/>
        </w:numPr>
        <w:rPr>
          <w:b/>
        </w:rPr>
      </w:pPr>
      <w:r w:rsidRPr="00C0092F">
        <w:rPr>
          <w:b/>
        </w:rPr>
        <w:t>Global Presence</w:t>
      </w:r>
      <w:r w:rsidR="00C0092F">
        <w:rPr>
          <w:b/>
        </w:rPr>
        <w:t xml:space="preserve">. </w:t>
      </w:r>
      <w:r w:rsidR="00574622">
        <w:t>E</w:t>
      </w:r>
      <w:r w:rsidR="00276F0A">
        <w:t xml:space="preserve">stee </w:t>
      </w:r>
      <w:r w:rsidR="00574622">
        <w:t>L</w:t>
      </w:r>
      <w:r w:rsidR="00276F0A">
        <w:t>auder</w:t>
      </w:r>
      <w:r w:rsidR="00574622">
        <w:t xml:space="preserve"> products are sold in more than 150 different countries and territories. The company manufactures its products mainly in the United States, Belgium, Switzerland, United Kingdom, and Canada. The America’s make up approximately 40% of the revenues, Europe the Middle East and Africa account for another 40%, and the fastest growing market</w:t>
      </w:r>
      <w:r w:rsidR="00251EDC">
        <w:t>,</w:t>
      </w:r>
      <w:r w:rsidR="00574622">
        <w:t xml:space="preserve"> Asia Pacific</w:t>
      </w:r>
      <w:r w:rsidR="00251EDC">
        <w:t>,</w:t>
      </w:r>
      <w:r w:rsidR="00574622">
        <w:t xml:space="preserve"> is 20% of revenues.</w:t>
      </w:r>
    </w:p>
    <w:p w14:paraId="69567586" w14:textId="2BFE2DA3" w:rsidR="000535F3" w:rsidRPr="000535F3" w:rsidRDefault="000535F3" w:rsidP="009A5D5A">
      <w:pPr>
        <w:pStyle w:val="ListParagraph"/>
        <w:numPr>
          <w:ilvl w:val="0"/>
          <w:numId w:val="1"/>
        </w:numPr>
      </w:pPr>
      <w:r>
        <w:rPr>
          <w:b/>
        </w:rPr>
        <w:t>Acquisitions</w:t>
      </w:r>
      <w:r w:rsidR="00574622">
        <w:rPr>
          <w:b/>
        </w:rPr>
        <w:t xml:space="preserve"> and Licenses. </w:t>
      </w:r>
      <w:r w:rsidR="00574622">
        <w:t>E</w:t>
      </w:r>
      <w:r w:rsidR="001E5F21">
        <w:t>stee Lauder</w:t>
      </w:r>
      <w:r w:rsidR="00574622">
        <w:t xml:space="preserve"> has acquired 26 different companies in the past 20 years. Not only has this aided in the company’</w:t>
      </w:r>
      <w:r w:rsidR="001828BD">
        <w:t>s global presence, but it expanded the company’s market share and consumer base.</w:t>
      </w:r>
      <w:r w:rsidR="00212E4A">
        <w:t xml:space="preserve"> Last year EL</w:t>
      </w:r>
      <w:r w:rsidR="001828BD">
        <w:t xml:space="preserve"> </w:t>
      </w:r>
      <w:r w:rsidR="00212E4A">
        <w:t>acquired Too Faced</w:t>
      </w:r>
      <w:r w:rsidR="0074094C">
        <w:t>, a</w:t>
      </w:r>
      <w:r w:rsidR="00212E4A">
        <w:t xml:space="preserve"> cosmetic brand to target millennials </w:t>
      </w:r>
      <w:r w:rsidR="00F91142">
        <w:t xml:space="preserve">and adapt to the shift of cosmetic art. </w:t>
      </w:r>
      <w:r w:rsidR="008A5D9F">
        <w:t xml:space="preserve">We predict Estee Lauder will continue to acquire companies that </w:t>
      </w:r>
      <w:r w:rsidR="00974757">
        <w:t>complement</w:t>
      </w:r>
      <w:r w:rsidR="008A5D9F">
        <w:t xml:space="preserve"> </w:t>
      </w:r>
      <w:r w:rsidR="000E58DC">
        <w:t>it</w:t>
      </w:r>
      <w:r w:rsidR="008A5D9F">
        <w:t xml:space="preserve">s current brands and products. </w:t>
      </w:r>
    </w:p>
    <w:p w14:paraId="411F9617" w14:textId="5C7B4E27" w:rsidR="00986B79" w:rsidRDefault="00986B79" w:rsidP="009A5D5A">
      <w:pPr>
        <w:pStyle w:val="ListParagraph"/>
        <w:numPr>
          <w:ilvl w:val="0"/>
          <w:numId w:val="1"/>
        </w:numPr>
      </w:pPr>
      <w:r w:rsidRPr="009A5D5A">
        <w:rPr>
          <w:b/>
        </w:rPr>
        <w:t>Diversified Brands</w:t>
      </w:r>
      <w:r w:rsidR="00997CB0" w:rsidRPr="009A5D5A">
        <w:rPr>
          <w:b/>
        </w:rPr>
        <w:t>.</w:t>
      </w:r>
      <w:r w:rsidR="005C6129">
        <w:t xml:space="preserve"> Estee Lauder</w:t>
      </w:r>
      <w:r w:rsidR="00CF15E0">
        <w:t xml:space="preserve"> currently operates under </w:t>
      </w:r>
      <w:r w:rsidR="00010421">
        <w:t>29</w:t>
      </w:r>
      <w:r w:rsidR="00CF15E0">
        <w:t xml:space="preserve"> different brand names</w:t>
      </w:r>
      <w:r w:rsidR="00D30E5B">
        <w:t xml:space="preserve"> pro</w:t>
      </w:r>
      <w:r w:rsidR="008A5D9F">
        <w:t>ducing</w:t>
      </w:r>
      <w:r w:rsidR="00D30E5B">
        <w:t xml:space="preserve"> cosmetics, </w:t>
      </w:r>
      <w:r w:rsidR="00841CC8">
        <w:t>fragrances</w:t>
      </w:r>
      <w:r w:rsidR="00D30E5B">
        <w:t xml:space="preserve">, </w:t>
      </w:r>
      <w:r w:rsidR="003005FA">
        <w:t>skin care</w:t>
      </w:r>
      <w:r w:rsidR="008A5D9F">
        <w:t xml:space="preserve"> products</w:t>
      </w:r>
      <w:r w:rsidR="003005FA">
        <w:t>, and hair car</w:t>
      </w:r>
      <w:r w:rsidR="008A5D9F">
        <w:t>e products</w:t>
      </w:r>
      <w:r w:rsidR="003005FA">
        <w:t>. EL</w:t>
      </w:r>
      <w:r w:rsidR="005C6129">
        <w:t xml:space="preserve"> m</w:t>
      </w:r>
      <w:r w:rsidR="00997CB0">
        <w:t>anufacture</w:t>
      </w:r>
      <w:r w:rsidR="00F91142">
        <w:t>s</w:t>
      </w:r>
      <w:r w:rsidR="00997CB0">
        <w:t xml:space="preserve"> </w:t>
      </w:r>
      <w:r w:rsidR="005C6129">
        <w:t>and distribute</w:t>
      </w:r>
      <w:r w:rsidR="00F91142">
        <w:t>s</w:t>
      </w:r>
      <w:r w:rsidR="005C6129">
        <w:t xml:space="preserve"> </w:t>
      </w:r>
      <w:r w:rsidR="00997CB0">
        <w:t xml:space="preserve">fragrances </w:t>
      </w:r>
      <w:r w:rsidR="005C6129">
        <w:t xml:space="preserve">and cosmetics </w:t>
      </w:r>
      <w:r w:rsidR="00997CB0">
        <w:t>under large names like Tommy Hilfiger and Michael Kors</w:t>
      </w:r>
      <w:r w:rsidR="007C1B01">
        <w:t xml:space="preserve"> through </w:t>
      </w:r>
      <w:r w:rsidR="00CF15E0">
        <w:t>acquired licenses</w:t>
      </w:r>
      <w:r w:rsidR="00997CB0">
        <w:t xml:space="preserve">. </w:t>
      </w:r>
      <w:r w:rsidR="003005FA">
        <w:t>These diversi</w:t>
      </w:r>
      <w:bookmarkStart w:id="0" w:name="_GoBack"/>
      <w:bookmarkEnd w:id="0"/>
      <w:r w:rsidR="003005FA">
        <w:t xml:space="preserve">fied brands </w:t>
      </w:r>
      <w:r w:rsidR="00D51E39">
        <w:t xml:space="preserve">represent </w:t>
      </w:r>
      <w:r w:rsidR="008A5D9F">
        <w:t xml:space="preserve">Estee Lauder’s </w:t>
      </w:r>
      <w:r w:rsidR="00D51E39">
        <w:t>p</w:t>
      </w:r>
      <w:r w:rsidR="00997CB0">
        <w:t>restige image</w:t>
      </w:r>
      <w:r w:rsidR="00D51E39">
        <w:t xml:space="preserve"> and </w:t>
      </w:r>
      <w:r w:rsidR="008A5D9F">
        <w:t xml:space="preserve">they </w:t>
      </w:r>
      <w:r w:rsidR="00D51E39">
        <w:t xml:space="preserve">target loyal </w:t>
      </w:r>
      <w:r w:rsidR="00932A49">
        <w:t>high-end</w:t>
      </w:r>
      <w:r w:rsidR="00D51E39">
        <w:t xml:space="preserve"> users. Estee Lauder also </w:t>
      </w:r>
      <w:r w:rsidR="00252B77">
        <w:t>markets through</w:t>
      </w:r>
      <w:r w:rsidR="00EB688B">
        <w:t xml:space="preserve"> spokesmodels like Kendall Jenner and </w:t>
      </w:r>
      <w:r w:rsidR="00841CC8">
        <w:t>Gwyneth</w:t>
      </w:r>
      <w:r w:rsidR="00EB688B">
        <w:t xml:space="preserve"> </w:t>
      </w:r>
      <w:r w:rsidR="00841CC8">
        <w:t>Paltrow</w:t>
      </w:r>
      <w:r w:rsidR="00EB688B">
        <w:t xml:space="preserve">. </w:t>
      </w:r>
    </w:p>
    <w:p w14:paraId="78F8808E" w14:textId="7F73983E" w:rsidR="00463E4B" w:rsidRPr="000535F3" w:rsidRDefault="00EF3A30" w:rsidP="000535F3">
      <w:pPr>
        <w:pStyle w:val="ListParagraph"/>
        <w:numPr>
          <w:ilvl w:val="0"/>
          <w:numId w:val="1"/>
        </w:numPr>
        <w:rPr>
          <w:b/>
        </w:rPr>
      </w:pPr>
      <w:r w:rsidRPr="00EB07AB">
        <w:rPr>
          <w:b/>
        </w:rPr>
        <w:t xml:space="preserve">Research and Development. </w:t>
      </w:r>
      <w:r w:rsidR="00BD005F">
        <w:t>Estee Lauder continues to spend more each year on p</w:t>
      </w:r>
      <w:r w:rsidR="00982F01">
        <w:t>roduct innovation,</w:t>
      </w:r>
      <w:r w:rsidR="000B744C">
        <w:t xml:space="preserve"> </w:t>
      </w:r>
      <w:r w:rsidR="000865A1">
        <w:t xml:space="preserve">product-line extensions, new packaging concepts, </w:t>
      </w:r>
      <w:r w:rsidR="00D1232B">
        <w:t>improv</w:t>
      </w:r>
      <w:r w:rsidR="006A4915">
        <w:t>ing</w:t>
      </w:r>
      <w:r w:rsidR="0074475E">
        <w:t>,</w:t>
      </w:r>
      <w:r w:rsidR="006A4915">
        <w:t xml:space="preserve"> and </w:t>
      </w:r>
      <w:r w:rsidR="00D1232B">
        <w:t>redesign</w:t>
      </w:r>
      <w:r w:rsidR="006A4915">
        <w:t>ing</w:t>
      </w:r>
      <w:r w:rsidR="00D1232B">
        <w:t xml:space="preserve"> existing products. </w:t>
      </w:r>
      <w:r w:rsidR="008E18F3">
        <w:t>Consistent global standards and quality assurance</w:t>
      </w:r>
      <w:r w:rsidR="006C44D8">
        <w:t xml:space="preserve"> lead to global success </w:t>
      </w:r>
      <w:r w:rsidR="00AA4FCA">
        <w:t xml:space="preserve">and brand recognition for high quality beauty products. </w:t>
      </w:r>
    </w:p>
    <w:p w14:paraId="5BD4252B" w14:textId="07F26611" w:rsidR="004C121B" w:rsidRPr="00EC21AB" w:rsidRDefault="00CA1C0B" w:rsidP="00EC21AB">
      <w:pPr>
        <w:rPr>
          <w:b/>
        </w:rPr>
      </w:pPr>
      <w:r w:rsidRPr="00390018">
        <w:rPr>
          <w:b/>
        </w:rPr>
        <w:t>Valuation</w:t>
      </w:r>
      <w:r w:rsidR="00EC21AB">
        <w:rPr>
          <w:b/>
        </w:rPr>
        <w:br/>
      </w:r>
      <w:r w:rsidR="004C121B" w:rsidRPr="00360858">
        <w:t>In order to arrive at an intrinsic value for Estee Lauder</w:t>
      </w:r>
      <w:r w:rsidR="008A5D9F">
        <w:t>’ stock price</w:t>
      </w:r>
      <w:r w:rsidR="004C121B" w:rsidRPr="00360858">
        <w:t xml:space="preserve">, a five-year DCF model was constructed. A WACC of 7% and a </w:t>
      </w:r>
      <w:r w:rsidR="00F83B72">
        <w:t>revenue</w:t>
      </w:r>
      <w:r w:rsidR="004C121B" w:rsidRPr="00360858">
        <w:t xml:space="preserve"> growth rate of 6%</w:t>
      </w:r>
      <w:r w:rsidR="008D6568">
        <w:t>,</w:t>
      </w:r>
      <w:r w:rsidR="004C121B" w:rsidRPr="00360858">
        <w:t xml:space="preserve"> </w:t>
      </w:r>
      <w:r w:rsidR="00F83B72">
        <w:t>which lead to a</w:t>
      </w:r>
      <w:r w:rsidR="008D6568">
        <w:t>n</w:t>
      </w:r>
      <w:r w:rsidR="00F83B72">
        <w:t xml:space="preserve"> EBI</w:t>
      </w:r>
      <w:r w:rsidR="008D6568">
        <w:t xml:space="preserve">TDA multiple of 18x, </w:t>
      </w:r>
      <w:r w:rsidR="004C121B" w:rsidRPr="00360858">
        <w:t>were used to arrive at a target price of $</w:t>
      </w:r>
      <w:r w:rsidR="00C556FF" w:rsidRPr="00360858">
        <w:t>148</w:t>
      </w:r>
      <w:r w:rsidR="004C121B" w:rsidRPr="00360858">
        <w:t>.</w:t>
      </w:r>
      <w:r w:rsidR="00C556FF" w:rsidRPr="00360858">
        <w:t>41</w:t>
      </w:r>
      <w:r w:rsidR="004C121B" w:rsidRPr="00360858">
        <w:t>. A ±.5% sensitivity analysis on the terminal growth rate and a ±.5% WACC resulted in a target prices falling between</w:t>
      </w:r>
      <w:r w:rsidR="005F66B3">
        <w:t xml:space="preserve"> $141.89 and $154.65</w:t>
      </w:r>
      <w:r w:rsidR="004C121B" w:rsidRPr="00360858">
        <w:t xml:space="preserve">. </w:t>
      </w:r>
      <w:r w:rsidR="008D6568">
        <w:t>A DCF for perpetual growth was also completed using a growth rate of 3.2% which lead to a target price of $142.38.</w:t>
      </w:r>
    </w:p>
    <w:p w14:paraId="47CAF45E" w14:textId="14F354E1" w:rsidR="00CA1C0B" w:rsidRPr="00390018" w:rsidRDefault="00CA1C0B" w:rsidP="008A5D9F">
      <w:pPr>
        <w:spacing w:after="120"/>
        <w:rPr>
          <w:b/>
        </w:rPr>
      </w:pPr>
      <w:r w:rsidRPr="00390018">
        <w:rPr>
          <w:b/>
        </w:rPr>
        <w:t>Risks</w:t>
      </w:r>
    </w:p>
    <w:p w14:paraId="4579B171" w14:textId="37B4D928" w:rsidR="00997CB0" w:rsidRPr="00463E4B" w:rsidRDefault="00310B43" w:rsidP="00997CB0">
      <w:pPr>
        <w:pStyle w:val="ListParagraph"/>
        <w:numPr>
          <w:ilvl w:val="0"/>
          <w:numId w:val="2"/>
        </w:numPr>
        <w:rPr>
          <w:b/>
        </w:rPr>
      </w:pPr>
      <w:r w:rsidRPr="00463E4B">
        <w:rPr>
          <w:b/>
        </w:rPr>
        <w:t>Foreign Currency Movements</w:t>
      </w:r>
      <w:r w:rsidR="0061225A">
        <w:rPr>
          <w:b/>
        </w:rPr>
        <w:t xml:space="preserve">. </w:t>
      </w:r>
      <w:r w:rsidR="0048337C">
        <w:t>As Estee Lauder continues to expand globally, foreign exchange rate risk rise</w:t>
      </w:r>
      <w:r w:rsidR="00EB594F">
        <w:t>s</w:t>
      </w:r>
      <w:r w:rsidR="0048337C">
        <w:t xml:space="preserve">. Product prices, costs of operations, </w:t>
      </w:r>
      <w:r w:rsidR="007402D4">
        <w:t xml:space="preserve">and asset values are all affected by the strengthening or weakening of </w:t>
      </w:r>
      <w:r w:rsidR="00554441">
        <w:t xml:space="preserve">a country’s </w:t>
      </w:r>
      <w:r w:rsidR="007402D4">
        <w:t xml:space="preserve">currency. Estee Lauder diversifies away some of this risk by using </w:t>
      </w:r>
      <w:r w:rsidR="005E1C3E">
        <w:t xml:space="preserve">19 different suppliers across the globe to satisfy their manufacturing plants </w:t>
      </w:r>
      <w:r w:rsidR="0036297C">
        <w:t>and 43 major customers in</w:t>
      </w:r>
      <w:r w:rsidR="00967DEF">
        <w:t xml:space="preserve"> varying regions. </w:t>
      </w:r>
    </w:p>
    <w:p w14:paraId="22EE8436" w14:textId="7B60F411" w:rsidR="00C556FF" w:rsidRDefault="00C556FF" w:rsidP="00C556FF">
      <w:pPr>
        <w:pStyle w:val="ListParagraph"/>
        <w:numPr>
          <w:ilvl w:val="0"/>
          <w:numId w:val="1"/>
        </w:numPr>
      </w:pPr>
      <w:r w:rsidRPr="009A5D5A">
        <w:rPr>
          <w:b/>
        </w:rPr>
        <w:t>Lauder Family Control.</w:t>
      </w:r>
      <w:r>
        <w:t xml:space="preserve"> </w:t>
      </w:r>
      <w:r w:rsidRPr="00C0092F">
        <w:t>The Lauder family owns a</w:t>
      </w:r>
      <w:r>
        <w:t>bout</w:t>
      </w:r>
      <w:r w:rsidRPr="00C0092F">
        <w:t xml:space="preserve"> </w:t>
      </w:r>
      <w:r w:rsidR="007C1B01">
        <w:t>3</w:t>
      </w:r>
      <w:r w:rsidRPr="00C0092F">
        <w:t>0</w:t>
      </w:r>
      <w:r w:rsidR="007C1B01">
        <w:t>%</w:t>
      </w:r>
      <w:r w:rsidRPr="00C0092F">
        <w:t xml:space="preserve"> of the total common stock and about 87</w:t>
      </w:r>
      <w:r w:rsidR="007C1B01">
        <w:t>%</w:t>
      </w:r>
      <w:r w:rsidRPr="00C0092F">
        <w:t xml:space="preserve"> of the voting power.</w:t>
      </w:r>
      <w:r w:rsidR="00BE6029">
        <w:t xml:space="preserve"> There are five members of the Lauder family that hold both executive and board positions. However, the board member majority is held by independent members. T</w:t>
      </w:r>
      <w:r w:rsidR="007C1B01">
        <w:t>he Lauder fam</w:t>
      </w:r>
      <w:r w:rsidR="00BE6029">
        <w:t xml:space="preserve">ily is very committed to the success of the company because they are so highly invested. </w:t>
      </w:r>
    </w:p>
    <w:p w14:paraId="35276111" w14:textId="5721C17E" w:rsidR="00C92F8A" w:rsidRDefault="00C92F8A" w:rsidP="000535F3">
      <w:pPr>
        <w:pStyle w:val="ListParagraph"/>
        <w:numPr>
          <w:ilvl w:val="0"/>
          <w:numId w:val="1"/>
        </w:numPr>
      </w:pPr>
      <w:r w:rsidRPr="00463E4B">
        <w:rPr>
          <w:b/>
        </w:rPr>
        <w:t>B</w:t>
      </w:r>
      <w:r w:rsidR="00463E4B" w:rsidRPr="00463E4B">
        <w:rPr>
          <w:b/>
        </w:rPr>
        <w:t>rick and</w:t>
      </w:r>
      <w:r w:rsidRPr="00463E4B">
        <w:rPr>
          <w:b/>
        </w:rPr>
        <w:t xml:space="preserve"> Mortar. </w:t>
      </w:r>
      <w:r w:rsidR="00B51972">
        <w:t xml:space="preserve">Many department stores have been struggling to compete with online retailing and </w:t>
      </w:r>
      <w:r w:rsidR="00400AED">
        <w:t xml:space="preserve">diverse companies like Wal-Mart and Target. These types of companies make up 25.21% of EL’s current revenue with </w:t>
      </w:r>
      <w:r>
        <w:t>Macy’s</w:t>
      </w:r>
      <w:r w:rsidR="00400AED">
        <w:t xml:space="preserve"> Inc</w:t>
      </w:r>
      <w:r w:rsidR="00390018">
        <w:t>.</w:t>
      </w:r>
      <w:r w:rsidR="00400AED">
        <w:t xml:space="preserve"> being the leading overall customer. However, EL is taking precautions again</w:t>
      </w:r>
      <w:r w:rsidR="0061225A">
        <w:t>st this threat by focusing on</w:t>
      </w:r>
      <w:r w:rsidR="00400AED">
        <w:t xml:space="preserve"> e</w:t>
      </w:r>
      <w:r w:rsidR="00C556FF" w:rsidRPr="00C556FF">
        <w:t>-commerce</w:t>
      </w:r>
      <w:r w:rsidR="0061225A">
        <w:t>,</w:t>
      </w:r>
      <w:r w:rsidR="00C556FF" w:rsidRPr="00C556FF">
        <w:t xml:space="preserve"> specialty re</w:t>
      </w:r>
      <w:r w:rsidR="00400AED">
        <w:t xml:space="preserve">tailers, and </w:t>
      </w:r>
      <w:r w:rsidR="00400AED">
        <w:lastRenderedPageBreak/>
        <w:t>travel retail chains. EL, Amazon, and other online retailers currently sell the company’s products. U</w:t>
      </w:r>
      <w:r w:rsidR="00C556FF" w:rsidRPr="00C556FF">
        <w:t xml:space="preserve">lta </w:t>
      </w:r>
      <w:r w:rsidR="00400AED">
        <w:t>Beauty and Sephora also specialize in cosmetic, fragrance, and beauty products by Estee Lauder</w:t>
      </w:r>
      <w:r w:rsidR="008A5D9F">
        <w:t xml:space="preserve"> Companies</w:t>
      </w:r>
      <w:r w:rsidR="00400AED">
        <w:t xml:space="preserve">. </w:t>
      </w:r>
      <w:r w:rsidR="0061225A">
        <w:t>Because EL is a globally recognized brand, travel retail in airports is also a growing area for new revenue streams.</w:t>
      </w:r>
    </w:p>
    <w:p w14:paraId="1FA94A93" w14:textId="2E1DAF20" w:rsidR="00806A09" w:rsidRPr="00EC21AB" w:rsidRDefault="00CA1C0B" w:rsidP="00EC21AB">
      <w:pPr>
        <w:rPr>
          <w:b/>
        </w:rPr>
      </w:pPr>
      <w:r w:rsidRPr="00390018">
        <w:rPr>
          <w:b/>
        </w:rPr>
        <w:t>Management</w:t>
      </w:r>
      <w:r w:rsidR="00EC21AB">
        <w:rPr>
          <w:b/>
        </w:rPr>
        <w:br/>
      </w:r>
      <w:r w:rsidR="00E41BF2" w:rsidRPr="00360858">
        <w:t>William Lauder has been the Executive Chairman for Estee Lauder since July 2009. In addition to being the Executive Chairman of Estee Lauder, Lauder is also a descendent of Estee Lauder’s founder. Prior to assuming his role a</w:t>
      </w:r>
      <w:r w:rsidR="00873924">
        <w:t>s</w:t>
      </w:r>
      <w:r w:rsidR="00E41BF2" w:rsidRPr="00360858">
        <w:t xml:space="preserve"> Executive Chairman, Lauder filled several other Executive director positions in the company beginning in 1996. Fabrizio Freda assumed his role as President and CEO of Estee Lauder in July 2009. Before joining Estee Lauder in 2007, Freda completed around two decades of service in executive positions at Procter &amp; Gamble. </w:t>
      </w:r>
    </w:p>
    <w:p w14:paraId="2CEC5809" w14:textId="64CB5AA9" w:rsidR="00CA1C0B" w:rsidRPr="00390018" w:rsidRDefault="00CA1C0B">
      <w:pPr>
        <w:rPr>
          <w:b/>
        </w:rPr>
      </w:pPr>
      <w:r w:rsidRPr="00390018">
        <w:rPr>
          <w:b/>
        </w:rPr>
        <w:t>Stock Chart of Past Year Performance</w:t>
      </w:r>
    </w:p>
    <w:p w14:paraId="6861E1A1" w14:textId="53FA649E" w:rsidR="00986B79" w:rsidRDefault="00986B79">
      <w:r>
        <w:rPr>
          <w:noProof/>
        </w:rPr>
        <w:drawing>
          <wp:inline distT="0" distB="0" distL="0" distR="0" wp14:anchorId="47F2D265" wp14:editId="33F304DB">
            <wp:extent cx="6117830" cy="2172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1773" cy="2174014"/>
                    </a:xfrm>
                    <a:prstGeom prst="rect">
                      <a:avLst/>
                    </a:prstGeom>
                  </pic:spPr>
                </pic:pic>
              </a:graphicData>
            </a:graphic>
          </wp:inline>
        </w:drawing>
      </w:r>
    </w:p>
    <w:tbl>
      <w:tblPr>
        <w:tblpPr w:leftFromText="180" w:rightFromText="180" w:vertAnchor="text" w:horzAnchor="margin" w:tblpY="368"/>
        <w:tblW w:w="9680" w:type="dxa"/>
        <w:tblLook w:val="04A0" w:firstRow="1" w:lastRow="0" w:firstColumn="1" w:lastColumn="0" w:noHBand="0" w:noVBand="1"/>
      </w:tblPr>
      <w:tblGrid>
        <w:gridCol w:w="1300"/>
        <w:gridCol w:w="940"/>
        <w:gridCol w:w="1620"/>
        <w:gridCol w:w="1200"/>
        <w:gridCol w:w="2260"/>
        <w:gridCol w:w="960"/>
        <w:gridCol w:w="1400"/>
      </w:tblGrid>
      <w:tr w:rsidR="00EC21AB" w:rsidRPr="00B65FFA" w14:paraId="7FA8890B" w14:textId="77777777" w:rsidTr="00EC21AB">
        <w:trPr>
          <w:trHeight w:val="300"/>
        </w:trPr>
        <w:tc>
          <w:tcPr>
            <w:tcW w:w="1300" w:type="dxa"/>
            <w:tcBorders>
              <w:top w:val="single" w:sz="4" w:space="0" w:color="9BC2E6"/>
              <w:left w:val="single" w:sz="4" w:space="0" w:color="9BC2E6"/>
              <w:bottom w:val="single" w:sz="4" w:space="0" w:color="9BC2E6"/>
              <w:right w:val="nil"/>
            </w:tcBorders>
            <w:shd w:val="clear" w:color="5B9BD5" w:fill="5B9BD5"/>
            <w:noWrap/>
            <w:vAlign w:val="bottom"/>
            <w:hideMark/>
          </w:tcPr>
          <w:p w14:paraId="130D762E" w14:textId="77777777" w:rsidR="00EC21AB" w:rsidRPr="00B65FFA" w:rsidRDefault="00EC21AB" w:rsidP="00EC21AB">
            <w:pPr>
              <w:rPr>
                <w:rFonts w:ascii="Calibri" w:eastAsia="Times New Roman" w:hAnsi="Calibri" w:cs="Calibri"/>
                <w:b/>
                <w:bCs/>
                <w:color w:val="FFFFFF"/>
              </w:rPr>
            </w:pPr>
            <w:r w:rsidRPr="00B65FFA">
              <w:rPr>
                <w:rFonts w:ascii="Calibri" w:eastAsia="Times New Roman" w:hAnsi="Calibri" w:cs="Calibri"/>
                <w:b/>
                <w:bCs/>
                <w:color w:val="FFFFFF"/>
              </w:rPr>
              <w:t>Company</w:t>
            </w:r>
          </w:p>
        </w:tc>
        <w:tc>
          <w:tcPr>
            <w:tcW w:w="940" w:type="dxa"/>
            <w:tcBorders>
              <w:top w:val="single" w:sz="4" w:space="0" w:color="9BC2E6"/>
              <w:left w:val="nil"/>
              <w:bottom w:val="single" w:sz="4" w:space="0" w:color="9BC2E6"/>
              <w:right w:val="nil"/>
            </w:tcBorders>
            <w:shd w:val="clear" w:color="5B9BD5" w:fill="5B9BD5"/>
            <w:noWrap/>
            <w:vAlign w:val="bottom"/>
            <w:hideMark/>
          </w:tcPr>
          <w:p w14:paraId="067B7165" w14:textId="77777777" w:rsidR="00EC21AB" w:rsidRPr="00B65FFA" w:rsidRDefault="00EC21AB" w:rsidP="00EC21AB">
            <w:pPr>
              <w:spacing w:after="0" w:line="240" w:lineRule="auto"/>
              <w:rPr>
                <w:rFonts w:ascii="Calibri" w:eastAsia="Times New Roman" w:hAnsi="Calibri" w:cs="Calibri"/>
                <w:b/>
                <w:bCs/>
                <w:color w:val="FFFFFF"/>
              </w:rPr>
            </w:pPr>
            <w:r w:rsidRPr="00B65FFA">
              <w:rPr>
                <w:rFonts w:ascii="Calibri" w:eastAsia="Times New Roman" w:hAnsi="Calibri" w:cs="Calibri"/>
                <w:b/>
                <w:bCs/>
                <w:color w:val="FFFFFF"/>
              </w:rPr>
              <w:t xml:space="preserve">Ticker </w:t>
            </w:r>
          </w:p>
        </w:tc>
        <w:tc>
          <w:tcPr>
            <w:tcW w:w="1620" w:type="dxa"/>
            <w:tcBorders>
              <w:top w:val="single" w:sz="4" w:space="0" w:color="9BC2E6"/>
              <w:left w:val="nil"/>
              <w:bottom w:val="single" w:sz="4" w:space="0" w:color="9BC2E6"/>
              <w:right w:val="nil"/>
            </w:tcBorders>
            <w:shd w:val="clear" w:color="5B9BD5" w:fill="5B9BD5"/>
            <w:noWrap/>
            <w:vAlign w:val="bottom"/>
            <w:hideMark/>
          </w:tcPr>
          <w:p w14:paraId="48B9E963" w14:textId="77777777" w:rsidR="00EC21AB" w:rsidRPr="00B65FFA" w:rsidRDefault="00EC21AB" w:rsidP="00EC21AB">
            <w:pPr>
              <w:spacing w:after="0" w:line="240" w:lineRule="auto"/>
              <w:rPr>
                <w:rFonts w:ascii="Calibri" w:eastAsia="Times New Roman" w:hAnsi="Calibri" w:cs="Calibri"/>
                <w:b/>
                <w:bCs/>
                <w:color w:val="FFFFFF"/>
              </w:rPr>
            </w:pPr>
            <w:r w:rsidRPr="00B65FFA">
              <w:rPr>
                <w:rFonts w:ascii="Calibri" w:eastAsia="Times New Roman" w:hAnsi="Calibri" w:cs="Calibri"/>
                <w:b/>
                <w:bCs/>
                <w:color w:val="FFFFFF"/>
              </w:rPr>
              <w:t>Market Cap (Bil)</w:t>
            </w:r>
          </w:p>
        </w:tc>
        <w:tc>
          <w:tcPr>
            <w:tcW w:w="1200" w:type="dxa"/>
            <w:tcBorders>
              <w:top w:val="single" w:sz="4" w:space="0" w:color="9BC2E6"/>
              <w:left w:val="nil"/>
              <w:bottom w:val="single" w:sz="4" w:space="0" w:color="9BC2E6"/>
              <w:right w:val="nil"/>
            </w:tcBorders>
            <w:shd w:val="clear" w:color="5B9BD5" w:fill="5B9BD5"/>
            <w:noWrap/>
            <w:vAlign w:val="bottom"/>
            <w:hideMark/>
          </w:tcPr>
          <w:p w14:paraId="1F3B4F90" w14:textId="77777777" w:rsidR="00EC21AB" w:rsidRPr="00B65FFA" w:rsidRDefault="00EC21AB" w:rsidP="00EC21AB">
            <w:pPr>
              <w:spacing w:after="0" w:line="240" w:lineRule="auto"/>
              <w:rPr>
                <w:rFonts w:ascii="Calibri" w:eastAsia="Times New Roman" w:hAnsi="Calibri" w:cs="Calibri"/>
                <w:b/>
                <w:bCs/>
                <w:color w:val="FFFFFF"/>
              </w:rPr>
            </w:pPr>
            <w:r w:rsidRPr="00B65FFA">
              <w:rPr>
                <w:rFonts w:ascii="Calibri" w:eastAsia="Times New Roman" w:hAnsi="Calibri" w:cs="Calibri"/>
                <w:b/>
                <w:bCs/>
                <w:color w:val="FFFFFF"/>
              </w:rPr>
              <w:t>Last Price</w:t>
            </w:r>
          </w:p>
        </w:tc>
        <w:tc>
          <w:tcPr>
            <w:tcW w:w="2260" w:type="dxa"/>
            <w:tcBorders>
              <w:top w:val="single" w:sz="4" w:space="0" w:color="9BC2E6"/>
              <w:left w:val="nil"/>
              <w:bottom w:val="single" w:sz="4" w:space="0" w:color="9BC2E6"/>
              <w:right w:val="nil"/>
            </w:tcBorders>
            <w:shd w:val="clear" w:color="5B9BD5" w:fill="5B9BD5"/>
            <w:noWrap/>
            <w:vAlign w:val="bottom"/>
            <w:hideMark/>
          </w:tcPr>
          <w:p w14:paraId="4167FD90" w14:textId="77777777" w:rsidR="00EC21AB" w:rsidRPr="00B65FFA" w:rsidRDefault="00EC21AB" w:rsidP="00EC21AB">
            <w:pPr>
              <w:spacing w:after="0" w:line="240" w:lineRule="auto"/>
              <w:rPr>
                <w:rFonts w:ascii="Calibri" w:eastAsia="Times New Roman" w:hAnsi="Calibri" w:cs="Calibri"/>
                <w:b/>
                <w:bCs/>
                <w:color w:val="FFFFFF"/>
              </w:rPr>
            </w:pPr>
            <w:r w:rsidRPr="00B65FFA">
              <w:rPr>
                <w:rFonts w:ascii="Calibri" w:eastAsia="Times New Roman" w:hAnsi="Calibri" w:cs="Calibri"/>
                <w:b/>
                <w:bCs/>
                <w:color w:val="FFFFFF"/>
              </w:rPr>
              <w:t>EBITDA Margin T12M</w:t>
            </w:r>
          </w:p>
        </w:tc>
        <w:tc>
          <w:tcPr>
            <w:tcW w:w="960" w:type="dxa"/>
            <w:tcBorders>
              <w:top w:val="single" w:sz="4" w:space="0" w:color="9BC2E6"/>
              <w:left w:val="nil"/>
              <w:bottom w:val="single" w:sz="4" w:space="0" w:color="9BC2E6"/>
              <w:right w:val="nil"/>
            </w:tcBorders>
            <w:shd w:val="clear" w:color="5B9BD5" w:fill="5B9BD5"/>
            <w:noWrap/>
            <w:vAlign w:val="bottom"/>
            <w:hideMark/>
          </w:tcPr>
          <w:p w14:paraId="4D774445" w14:textId="77777777" w:rsidR="00EC21AB" w:rsidRPr="00B65FFA" w:rsidRDefault="00EC21AB" w:rsidP="00EC21AB">
            <w:pPr>
              <w:spacing w:after="0" w:line="240" w:lineRule="auto"/>
              <w:rPr>
                <w:rFonts w:ascii="Calibri" w:eastAsia="Times New Roman" w:hAnsi="Calibri" w:cs="Calibri"/>
                <w:b/>
                <w:bCs/>
                <w:color w:val="FFFFFF"/>
              </w:rPr>
            </w:pPr>
            <w:r w:rsidRPr="00B65FFA">
              <w:rPr>
                <w:rFonts w:ascii="Calibri" w:eastAsia="Times New Roman" w:hAnsi="Calibri" w:cs="Calibri"/>
                <w:b/>
                <w:bCs/>
                <w:color w:val="FFFFFF"/>
              </w:rPr>
              <w:t>EPS</w:t>
            </w:r>
          </w:p>
        </w:tc>
        <w:tc>
          <w:tcPr>
            <w:tcW w:w="1400" w:type="dxa"/>
            <w:tcBorders>
              <w:top w:val="single" w:sz="4" w:space="0" w:color="9BC2E6"/>
              <w:left w:val="nil"/>
              <w:bottom w:val="single" w:sz="4" w:space="0" w:color="9BC2E6"/>
              <w:right w:val="single" w:sz="4" w:space="0" w:color="9BC2E6"/>
            </w:tcBorders>
            <w:shd w:val="clear" w:color="5B9BD5" w:fill="5B9BD5"/>
            <w:noWrap/>
            <w:vAlign w:val="bottom"/>
            <w:hideMark/>
          </w:tcPr>
          <w:p w14:paraId="7382E56D" w14:textId="77777777" w:rsidR="00EC21AB" w:rsidRPr="00B65FFA" w:rsidRDefault="00EC21AB" w:rsidP="00EC21AB">
            <w:pPr>
              <w:spacing w:after="0" w:line="240" w:lineRule="auto"/>
              <w:rPr>
                <w:rFonts w:ascii="Calibri" w:eastAsia="Times New Roman" w:hAnsi="Calibri" w:cs="Calibri"/>
                <w:b/>
                <w:bCs/>
                <w:color w:val="FFFFFF"/>
              </w:rPr>
            </w:pPr>
            <w:r w:rsidRPr="00B65FFA">
              <w:rPr>
                <w:rFonts w:ascii="Calibri" w:eastAsia="Times New Roman" w:hAnsi="Calibri" w:cs="Calibri"/>
                <w:b/>
                <w:bCs/>
                <w:color w:val="FFFFFF"/>
              </w:rPr>
              <w:t>Current P/E</w:t>
            </w:r>
          </w:p>
        </w:tc>
      </w:tr>
      <w:tr w:rsidR="00EC21AB" w:rsidRPr="00B65FFA" w14:paraId="091AD883" w14:textId="77777777" w:rsidTr="00EC21AB">
        <w:trPr>
          <w:trHeight w:val="300"/>
        </w:trPr>
        <w:tc>
          <w:tcPr>
            <w:tcW w:w="1300" w:type="dxa"/>
            <w:tcBorders>
              <w:top w:val="single" w:sz="4" w:space="0" w:color="9BC2E6"/>
              <w:left w:val="single" w:sz="4" w:space="0" w:color="9BC2E6"/>
              <w:bottom w:val="single" w:sz="4" w:space="0" w:color="9BC2E6"/>
              <w:right w:val="nil"/>
            </w:tcBorders>
            <w:shd w:val="clear" w:color="DDEBF7" w:fill="DDEBF7"/>
            <w:noWrap/>
            <w:vAlign w:val="bottom"/>
            <w:hideMark/>
          </w:tcPr>
          <w:p w14:paraId="7F9E7456" w14:textId="3C156D32" w:rsidR="00EC21AB" w:rsidRPr="00B65FFA" w:rsidRDefault="00AE6CE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L’Oréal</w:t>
            </w:r>
          </w:p>
        </w:tc>
        <w:tc>
          <w:tcPr>
            <w:tcW w:w="940" w:type="dxa"/>
            <w:tcBorders>
              <w:top w:val="single" w:sz="4" w:space="0" w:color="9BC2E6"/>
              <w:left w:val="nil"/>
              <w:bottom w:val="single" w:sz="4" w:space="0" w:color="9BC2E6"/>
              <w:right w:val="nil"/>
            </w:tcBorders>
            <w:shd w:val="clear" w:color="DDEBF7" w:fill="DDEBF7"/>
            <w:noWrap/>
            <w:vAlign w:val="bottom"/>
            <w:hideMark/>
          </w:tcPr>
          <w:p w14:paraId="7CE2057E"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OR.PA</w:t>
            </w:r>
          </w:p>
        </w:tc>
        <w:tc>
          <w:tcPr>
            <w:tcW w:w="1620" w:type="dxa"/>
            <w:tcBorders>
              <w:top w:val="single" w:sz="4" w:space="0" w:color="9BC2E6"/>
              <w:left w:val="nil"/>
              <w:bottom w:val="single" w:sz="4" w:space="0" w:color="9BC2E6"/>
              <w:right w:val="nil"/>
            </w:tcBorders>
            <w:shd w:val="clear" w:color="DDEBF7" w:fill="DDEBF7"/>
            <w:noWrap/>
            <w:vAlign w:val="bottom"/>
            <w:hideMark/>
          </w:tcPr>
          <w:p w14:paraId="05F9B587"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103.87</w:t>
            </w:r>
          </w:p>
        </w:tc>
        <w:tc>
          <w:tcPr>
            <w:tcW w:w="1200" w:type="dxa"/>
            <w:tcBorders>
              <w:top w:val="single" w:sz="4" w:space="0" w:color="9BC2E6"/>
              <w:left w:val="nil"/>
              <w:bottom w:val="single" w:sz="4" w:space="0" w:color="9BC2E6"/>
              <w:right w:val="nil"/>
            </w:tcBorders>
            <w:shd w:val="clear" w:color="DDEBF7" w:fill="DDEBF7"/>
            <w:noWrap/>
            <w:vAlign w:val="bottom"/>
            <w:hideMark/>
          </w:tcPr>
          <w:p w14:paraId="57B5AE2B"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188.5</w:t>
            </w:r>
          </w:p>
        </w:tc>
        <w:tc>
          <w:tcPr>
            <w:tcW w:w="2260" w:type="dxa"/>
            <w:tcBorders>
              <w:top w:val="single" w:sz="4" w:space="0" w:color="9BC2E6"/>
              <w:left w:val="nil"/>
              <w:bottom w:val="single" w:sz="4" w:space="0" w:color="9BC2E6"/>
              <w:right w:val="nil"/>
            </w:tcBorders>
            <w:shd w:val="clear" w:color="DDEBF7" w:fill="DDEBF7"/>
            <w:noWrap/>
            <w:vAlign w:val="bottom"/>
            <w:hideMark/>
          </w:tcPr>
          <w:p w14:paraId="6FE79550"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22.95</w:t>
            </w:r>
          </w:p>
        </w:tc>
        <w:tc>
          <w:tcPr>
            <w:tcW w:w="960" w:type="dxa"/>
            <w:tcBorders>
              <w:top w:val="single" w:sz="4" w:space="0" w:color="9BC2E6"/>
              <w:left w:val="nil"/>
              <w:bottom w:val="single" w:sz="4" w:space="0" w:color="9BC2E6"/>
              <w:right w:val="nil"/>
            </w:tcBorders>
            <w:shd w:val="clear" w:color="DDEBF7" w:fill="DDEBF7"/>
            <w:noWrap/>
            <w:vAlign w:val="bottom"/>
            <w:hideMark/>
          </w:tcPr>
          <w:p w14:paraId="22581B45"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6.47</w:t>
            </w:r>
          </w:p>
        </w:tc>
        <w:tc>
          <w:tcPr>
            <w:tcW w:w="1400" w:type="dxa"/>
            <w:tcBorders>
              <w:top w:val="single" w:sz="4" w:space="0" w:color="9BC2E6"/>
              <w:left w:val="nil"/>
              <w:bottom w:val="single" w:sz="4" w:space="0" w:color="9BC2E6"/>
              <w:right w:val="single" w:sz="4" w:space="0" w:color="9BC2E6"/>
            </w:tcBorders>
            <w:shd w:val="clear" w:color="DDEBF7" w:fill="DDEBF7"/>
            <w:noWrap/>
            <w:vAlign w:val="bottom"/>
            <w:hideMark/>
          </w:tcPr>
          <w:p w14:paraId="291AEDA0"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28.53</w:t>
            </w:r>
          </w:p>
        </w:tc>
      </w:tr>
      <w:tr w:rsidR="00EC21AB" w:rsidRPr="00B65FFA" w14:paraId="3650C55D" w14:textId="77777777" w:rsidTr="00EC21AB">
        <w:trPr>
          <w:trHeight w:val="300"/>
        </w:trPr>
        <w:tc>
          <w:tcPr>
            <w:tcW w:w="1300" w:type="dxa"/>
            <w:tcBorders>
              <w:top w:val="single" w:sz="4" w:space="0" w:color="9BC2E6"/>
              <w:left w:val="single" w:sz="4" w:space="0" w:color="9BC2E6"/>
              <w:bottom w:val="single" w:sz="4" w:space="0" w:color="9BC2E6"/>
              <w:right w:val="nil"/>
            </w:tcBorders>
            <w:shd w:val="clear" w:color="000000" w:fill="FFFF00"/>
            <w:noWrap/>
            <w:vAlign w:val="bottom"/>
            <w:hideMark/>
          </w:tcPr>
          <w:p w14:paraId="65F0D4B5"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Estee Lauder</w:t>
            </w:r>
          </w:p>
        </w:tc>
        <w:tc>
          <w:tcPr>
            <w:tcW w:w="940" w:type="dxa"/>
            <w:tcBorders>
              <w:top w:val="single" w:sz="4" w:space="0" w:color="9BC2E6"/>
              <w:left w:val="nil"/>
              <w:bottom w:val="single" w:sz="4" w:space="0" w:color="9BC2E6"/>
              <w:right w:val="nil"/>
            </w:tcBorders>
            <w:shd w:val="clear" w:color="000000" w:fill="FFFF00"/>
            <w:noWrap/>
            <w:vAlign w:val="bottom"/>
            <w:hideMark/>
          </w:tcPr>
          <w:p w14:paraId="631D09A8"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EL</w:t>
            </w:r>
          </w:p>
        </w:tc>
        <w:tc>
          <w:tcPr>
            <w:tcW w:w="1620" w:type="dxa"/>
            <w:tcBorders>
              <w:top w:val="single" w:sz="4" w:space="0" w:color="9BC2E6"/>
              <w:left w:val="nil"/>
              <w:bottom w:val="single" w:sz="4" w:space="0" w:color="9BC2E6"/>
              <w:right w:val="nil"/>
            </w:tcBorders>
            <w:shd w:val="clear" w:color="000000" w:fill="FFFF00"/>
            <w:noWrap/>
            <w:vAlign w:val="bottom"/>
            <w:hideMark/>
          </w:tcPr>
          <w:p w14:paraId="6C084D11"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45.57</w:t>
            </w:r>
          </w:p>
        </w:tc>
        <w:tc>
          <w:tcPr>
            <w:tcW w:w="1200" w:type="dxa"/>
            <w:tcBorders>
              <w:top w:val="single" w:sz="4" w:space="0" w:color="9BC2E6"/>
              <w:left w:val="nil"/>
              <w:bottom w:val="single" w:sz="4" w:space="0" w:color="9BC2E6"/>
              <w:right w:val="nil"/>
            </w:tcBorders>
            <w:shd w:val="clear" w:color="000000" w:fill="FFFF00"/>
            <w:noWrap/>
            <w:vAlign w:val="bottom"/>
            <w:hideMark/>
          </w:tcPr>
          <w:p w14:paraId="1581799E"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123.75</w:t>
            </w:r>
          </w:p>
        </w:tc>
        <w:tc>
          <w:tcPr>
            <w:tcW w:w="2260" w:type="dxa"/>
            <w:tcBorders>
              <w:top w:val="single" w:sz="4" w:space="0" w:color="9BC2E6"/>
              <w:left w:val="nil"/>
              <w:bottom w:val="single" w:sz="4" w:space="0" w:color="9BC2E6"/>
              <w:right w:val="nil"/>
            </w:tcBorders>
            <w:shd w:val="clear" w:color="000000" w:fill="FFFF00"/>
            <w:noWrap/>
            <w:vAlign w:val="bottom"/>
            <w:hideMark/>
          </w:tcPr>
          <w:p w14:paraId="2323605E"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19.85</w:t>
            </w:r>
          </w:p>
        </w:tc>
        <w:tc>
          <w:tcPr>
            <w:tcW w:w="960" w:type="dxa"/>
            <w:tcBorders>
              <w:top w:val="single" w:sz="4" w:space="0" w:color="9BC2E6"/>
              <w:left w:val="nil"/>
              <w:bottom w:val="single" w:sz="4" w:space="0" w:color="9BC2E6"/>
              <w:right w:val="nil"/>
            </w:tcBorders>
            <w:shd w:val="clear" w:color="000000" w:fill="FFFF00"/>
            <w:noWrap/>
            <w:vAlign w:val="bottom"/>
            <w:hideMark/>
          </w:tcPr>
          <w:p w14:paraId="1F34B1F2"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3.71</w:t>
            </w:r>
          </w:p>
        </w:tc>
        <w:tc>
          <w:tcPr>
            <w:tcW w:w="1400" w:type="dxa"/>
            <w:tcBorders>
              <w:top w:val="single" w:sz="4" w:space="0" w:color="9BC2E6"/>
              <w:left w:val="nil"/>
              <w:bottom w:val="single" w:sz="4" w:space="0" w:color="9BC2E6"/>
              <w:right w:val="single" w:sz="4" w:space="0" w:color="9BC2E6"/>
            </w:tcBorders>
            <w:shd w:val="clear" w:color="000000" w:fill="FFFF00"/>
            <w:noWrap/>
            <w:vAlign w:val="bottom"/>
            <w:hideMark/>
          </w:tcPr>
          <w:p w14:paraId="439B4271"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32.16</w:t>
            </w:r>
          </w:p>
        </w:tc>
      </w:tr>
      <w:tr w:rsidR="00EC21AB" w:rsidRPr="00B65FFA" w14:paraId="2AC9BF09" w14:textId="77777777" w:rsidTr="00EC21AB">
        <w:trPr>
          <w:trHeight w:val="300"/>
        </w:trPr>
        <w:tc>
          <w:tcPr>
            <w:tcW w:w="1300" w:type="dxa"/>
            <w:tcBorders>
              <w:top w:val="single" w:sz="4" w:space="0" w:color="9BC2E6"/>
              <w:left w:val="single" w:sz="4" w:space="0" w:color="9BC2E6"/>
              <w:bottom w:val="single" w:sz="4" w:space="0" w:color="9BC2E6"/>
              <w:right w:val="nil"/>
            </w:tcBorders>
            <w:shd w:val="clear" w:color="DDEBF7" w:fill="DDEBF7"/>
            <w:noWrap/>
            <w:vAlign w:val="bottom"/>
            <w:hideMark/>
          </w:tcPr>
          <w:p w14:paraId="53B0523B"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Coty</w:t>
            </w:r>
          </w:p>
        </w:tc>
        <w:tc>
          <w:tcPr>
            <w:tcW w:w="940" w:type="dxa"/>
            <w:tcBorders>
              <w:top w:val="single" w:sz="4" w:space="0" w:color="9BC2E6"/>
              <w:left w:val="nil"/>
              <w:bottom w:val="single" w:sz="4" w:space="0" w:color="9BC2E6"/>
              <w:right w:val="nil"/>
            </w:tcBorders>
            <w:shd w:val="clear" w:color="DDEBF7" w:fill="DDEBF7"/>
            <w:noWrap/>
            <w:vAlign w:val="bottom"/>
            <w:hideMark/>
          </w:tcPr>
          <w:p w14:paraId="2E4F8C48"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COTY</w:t>
            </w:r>
          </w:p>
        </w:tc>
        <w:tc>
          <w:tcPr>
            <w:tcW w:w="1620" w:type="dxa"/>
            <w:tcBorders>
              <w:top w:val="single" w:sz="4" w:space="0" w:color="9BC2E6"/>
              <w:left w:val="nil"/>
              <w:bottom w:val="single" w:sz="4" w:space="0" w:color="9BC2E6"/>
              <w:right w:val="nil"/>
            </w:tcBorders>
            <w:shd w:val="clear" w:color="DDEBF7" w:fill="DDEBF7"/>
            <w:noWrap/>
            <w:vAlign w:val="bottom"/>
            <w:hideMark/>
          </w:tcPr>
          <w:p w14:paraId="3CC580BF"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13.2</w:t>
            </w:r>
          </w:p>
        </w:tc>
        <w:tc>
          <w:tcPr>
            <w:tcW w:w="1200" w:type="dxa"/>
            <w:tcBorders>
              <w:top w:val="single" w:sz="4" w:space="0" w:color="9BC2E6"/>
              <w:left w:val="nil"/>
              <w:bottom w:val="single" w:sz="4" w:space="0" w:color="9BC2E6"/>
              <w:right w:val="nil"/>
            </w:tcBorders>
            <w:shd w:val="clear" w:color="DDEBF7" w:fill="DDEBF7"/>
            <w:noWrap/>
            <w:vAlign w:val="bottom"/>
            <w:hideMark/>
          </w:tcPr>
          <w:p w14:paraId="7FE8EA03"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17.56</w:t>
            </w:r>
          </w:p>
        </w:tc>
        <w:tc>
          <w:tcPr>
            <w:tcW w:w="2260" w:type="dxa"/>
            <w:tcBorders>
              <w:top w:val="single" w:sz="4" w:space="0" w:color="9BC2E6"/>
              <w:left w:val="nil"/>
              <w:bottom w:val="single" w:sz="4" w:space="0" w:color="9BC2E6"/>
              <w:right w:val="nil"/>
            </w:tcBorders>
            <w:shd w:val="clear" w:color="DDEBF7" w:fill="DDEBF7"/>
            <w:noWrap/>
            <w:vAlign w:val="bottom"/>
            <w:hideMark/>
          </w:tcPr>
          <w:p w14:paraId="256671FF"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13.76</w:t>
            </w:r>
          </w:p>
        </w:tc>
        <w:tc>
          <w:tcPr>
            <w:tcW w:w="960" w:type="dxa"/>
            <w:tcBorders>
              <w:top w:val="single" w:sz="4" w:space="0" w:color="9BC2E6"/>
              <w:left w:val="nil"/>
              <w:bottom w:val="single" w:sz="4" w:space="0" w:color="9BC2E6"/>
              <w:right w:val="nil"/>
            </w:tcBorders>
            <w:shd w:val="clear" w:color="DDEBF7" w:fill="DDEBF7"/>
            <w:noWrap/>
            <w:vAlign w:val="bottom"/>
            <w:hideMark/>
          </w:tcPr>
          <w:p w14:paraId="663015AE"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0.37</w:t>
            </w:r>
          </w:p>
        </w:tc>
        <w:tc>
          <w:tcPr>
            <w:tcW w:w="1400" w:type="dxa"/>
            <w:tcBorders>
              <w:top w:val="single" w:sz="4" w:space="0" w:color="9BC2E6"/>
              <w:left w:val="nil"/>
              <w:bottom w:val="single" w:sz="4" w:space="0" w:color="9BC2E6"/>
              <w:right w:val="single" w:sz="4" w:space="0" w:color="9BC2E6"/>
            </w:tcBorders>
            <w:shd w:val="clear" w:color="DDEBF7" w:fill="DDEBF7"/>
            <w:noWrap/>
            <w:vAlign w:val="bottom"/>
            <w:hideMark/>
          </w:tcPr>
          <w:p w14:paraId="5DBCB071"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61.76</w:t>
            </w:r>
          </w:p>
        </w:tc>
      </w:tr>
      <w:tr w:rsidR="00EC21AB" w:rsidRPr="00B65FFA" w14:paraId="3BEE0763" w14:textId="77777777" w:rsidTr="00EC21AB">
        <w:trPr>
          <w:trHeight w:val="300"/>
        </w:trPr>
        <w:tc>
          <w:tcPr>
            <w:tcW w:w="1300" w:type="dxa"/>
            <w:tcBorders>
              <w:top w:val="single" w:sz="4" w:space="0" w:color="9BC2E6"/>
              <w:left w:val="single" w:sz="4" w:space="0" w:color="9BC2E6"/>
              <w:bottom w:val="single" w:sz="4" w:space="0" w:color="9BC2E6"/>
              <w:right w:val="nil"/>
            </w:tcBorders>
            <w:shd w:val="clear" w:color="auto" w:fill="auto"/>
            <w:noWrap/>
            <w:vAlign w:val="bottom"/>
            <w:hideMark/>
          </w:tcPr>
          <w:p w14:paraId="18B289E6"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Revlon</w:t>
            </w:r>
          </w:p>
        </w:tc>
        <w:tc>
          <w:tcPr>
            <w:tcW w:w="940" w:type="dxa"/>
            <w:tcBorders>
              <w:top w:val="single" w:sz="4" w:space="0" w:color="9BC2E6"/>
              <w:left w:val="nil"/>
              <w:bottom w:val="single" w:sz="4" w:space="0" w:color="9BC2E6"/>
              <w:right w:val="nil"/>
            </w:tcBorders>
            <w:shd w:val="clear" w:color="auto" w:fill="auto"/>
            <w:noWrap/>
            <w:vAlign w:val="bottom"/>
            <w:hideMark/>
          </w:tcPr>
          <w:p w14:paraId="1460F6ED"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REV</w:t>
            </w:r>
          </w:p>
        </w:tc>
        <w:tc>
          <w:tcPr>
            <w:tcW w:w="1620" w:type="dxa"/>
            <w:tcBorders>
              <w:top w:val="single" w:sz="4" w:space="0" w:color="9BC2E6"/>
              <w:left w:val="nil"/>
              <w:bottom w:val="single" w:sz="4" w:space="0" w:color="9BC2E6"/>
              <w:right w:val="nil"/>
            </w:tcBorders>
            <w:shd w:val="clear" w:color="auto" w:fill="auto"/>
            <w:noWrap/>
            <w:vAlign w:val="bottom"/>
            <w:hideMark/>
          </w:tcPr>
          <w:p w14:paraId="66EDA8AE"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1.2</w:t>
            </w:r>
          </w:p>
        </w:tc>
        <w:tc>
          <w:tcPr>
            <w:tcW w:w="1200" w:type="dxa"/>
            <w:tcBorders>
              <w:top w:val="single" w:sz="4" w:space="0" w:color="9BC2E6"/>
              <w:left w:val="nil"/>
              <w:bottom w:val="single" w:sz="4" w:space="0" w:color="9BC2E6"/>
              <w:right w:val="nil"/>
            </w:tcBorders>
            <w:shd w:val="clear" w:color="auto" w:fill="auto"/>
            <w:noWrap/>
            <w:vAlign w:val="bottom"/>
            <w:hideMark/>
          </w:tcPr>
          <w:p w14:paraId="466CF919"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22.35</w:t>
            </w:r>
          </w:p>
        </w:tc>
        <w:tc>
          <w:tcPr>
            <w:tcW w:w="2260" w:type="dxa"/>
            <w:tcBorders>
              <w:top w:val="single" w:sz="4" w:space="0" w:color="9BC2E6"/>
              <w:left w:val="nil"/>
              <w:bottom w:val="single" w:sz="4" w:space="0" w:color="9BC2E6"/>
              <w:right w:val="nil"/>
            </w:tcBorders>
            <w:shd w:val="clear" w:color="auto" w:fill="auto"/>
            <w:noWrap/>
            <w:vAlign w:val="bottom"/>
            <w:hideMark/>
          </w:tcPr>
          <w:p w14:paraId="5D9CFE69"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17.71</w:t>
            </w:r>
          </w:p>
        </w:tc>
        <w:tc>
          <w:tcPr>
            <w:tcW w:w="960" w:type="dxa"/>
            <w:tcBorders>
              <w:top w:val="single" w:sz="4" w:space="0" w:color="9BC2E6"/>
              <w:left w:val="nil"/>
              <w:bottom w:val="single" w:sz="4" w:space="0" w:color="9BC2E6"/>
              <w:right w:val="nil"/>
            </w:tcBorders>
            <w:shd w:val="clear" w:color="auto" w:fill="auto"/>
            <w:noWrap/>
            <w:vAlign w:val="bottom"/>
            <w:hideMark/>
          </w:tcPr>
          <w:p w14:paraId="6AD8E32D"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1.67</w:t>
            </w:r>
          </w:p>
        </w:tc>
        <w:tc>
          <w:tcPr>
            <w:tcW w:w="1400" w:type="dxa"/>
            <w:tcBorders>
              <w:top w:val="single" w:sz="4" w:space="0" w:color="9BC2E6"/>
              <w:left w:val="nil"/>
              <w:bottom w:val="single" w:sz="4" w:space="0" w:color="9BC2E6"/>
              <w:right w:val="single" w:sz="4" w:space="0" w:color="9BC2E6"/>
            </w:tcBorders>
            <w:shd w:val="clear" w:color="auto" w:fill="auto"/>
            <w:noWrap/>
            <w:vAlign w:val="bottom"/>
            <w:hideMark/>
          </w:tcPr>
          <w:p w14:paraId="1D9017CE"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17.49</w:t>
            </w:r>
          </w:p>
        </w:tc>
      </w:tr>
      <w:tr w:rsidR="00EC21AB" w:rsidRPr="00B65FFA" w14:paraId="2E00E562" w14:textId="77777777" w:rsidTr="00EC21AB">
        <w:trPr>
          <w:trHeight w:val="300"/>
        </w:trPr>
        <w:tc>
          <w:tcPr>
            <w:tcW w:w="1300" w:type="dxa"/>
            <w:tcBorders>
              <w:top w:val="single" w:sz="4" w:space="0" w:color="9BC2E6"/>
              <w:left w:val="single" w:sz="4" w:space="0" w:color="9BC2E6"/>
              <w:bottom w:val="single" w:sz="4" w:space="0" w:color="9BC2E6"/>
              <w:right w:val="nil"/>
            </w:tcBorders>
            <w:shd w:val="clear" w:color="DDEBF7" w:fill="DDEBF7"/>
            <w:noWrap/>
            <w:vAlign w:val="bottom"/>
            <w:hideMark/>
          </w:tcPr>
          <w:p w14:paraId="359E3ABB"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Avon</w:t>
            </w:r>
          </w:p>
        </w:tc>
        <w:tc>
          <w:tcPr>
            <w:tcW w:w="940" w:type="dxa"/>
            <w:tcBorders>
              <w:top w:val="single" w:sz="4" w:space="0" w:color="9BC2E6"/>
              <w:left w:val="nil"/>
              <w:bottom w:val="single" w:sz="4" w:space="0" w:color="9BC2E6"/>
              <w:right w:val="nil"/>
            </w:tcBorders>
            <w:shd w:val="clear" w:color="DDEBF7" w:fill="DDEBF7"/>
            <w:noWrap/>
            <w:vAlign w:val="bottom"/>
            <w:hideMark/>
          </w:tcPr>
          <w:p w14:paraId="123FE2A4"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AVP</w:t>
            </w:r>
          </w:p>
        </w:tc>
        <w:tc>
          <w:tcPr>
            <w:tcW w:w="1620" w:type="dxa"/>
            <w:tcBorders>
              <w:top w:val="single" w:sz="4" w:space="0" w:color="9BC2E6"/>
              <w:left w:val="nil"/>
              <w:bottom w:val="single" w:sz="4" w:space="0" w:color="9BC2E6"/>
              <w:right w:val="nil"/>
            </w:tcBorders>
            <w:shd w:val="clear" w:color="DDEBF7" w:fill="DDEBF7"/>
            <w:noWrap/>
            <w:vAlign w:val="bottom"/>
            <w:hideMark/>
          </w:tcPr>
          <w:p w14:paraId="37E664BA"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0.915</w:t>
            </w:r>
          </w:p>
        </w:tc>
        <w:tc>
          <w:tcPr>
            <w:tcW w:w="1200" w:type="dxa"/>
            <w:tcBorders>
              <w:top w:val="single" w:sz="4" w:space="0" w:color="9BC2E6"/>
              <w:left w:val="nil"/>
              <w:bottom w:val="single" w:sz="4" w:space="0" w:color="9BC2E6"/>
              <w:right w:val="nil"/>
            </w:tcBorders>
            <w:shd w:val="clear" w:color="DDEBF7" w:fill="DDEBF7"/>
            <w:noWrap/>
            <w:vAlign w:val="bottom"/>
            <w:hideMark/>
          </w:tcPr>
          <w:p w14:paraId="1CB3016C"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2.08</w:t>
            </w:r>
          </w:p>
        </w:tc>
        <w:tc>
          <w:tcPr>
            <w:tcW w:w="2260" w:type="dxa"/>
            <w:tcBorders>
              <w:top w:val="single" w:sz="4" w:space="0" w:color="9BC2E6"/>
              <w:left w:val="nil"/>
              <w:bottom w:val="single" w:sz="4" w:space="0" w:color="9BC2E6"/>
              <w:right w:val="nil"/>
            </w:tcBorders>
            <w:shd w:val="clear" w:color="DDEBF7" w:fill="DDEBF7"/>
            <w:noWrap/>
            <w:vAlign w:val="bottom"/>
            <w:hideMark/>
          </w:tcPr>
          <w:p w14:paraId="1A4A5B83"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10.61</w:t>
            </w:r>
          </w:p>
        </w:tc>
        <w:tc>
          <w:tcPr>
            <w:tcW w:w="960" w:type="dxa"/>
            <w:tcBorders>
              <w:top w:val="single" w:sz="4" w:space="0" w:color="9BC2E6"/>
              <w:left w:val="nil"/>
              <w:bottom w:val="single" w:sz="4" w:space="0" w:color="9BC2E6"/>
              <w:right w:val="nil"/>
            </w:tcBorders>
            <w:shd w:val="clear" w:color="DDEBF7" w:fill="DDEBF7"/>
            <w:noWrap/>
            <w:vAlign w:val="bottom"/>
            <w:hideMark/>
          </w:tcPr>
          <w:p w14:paraId="31A56ACF"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0.07</w:t>
            </w:r>
          </w:p>
        </w:tc>
        <w:tc>
          <w:tcPr>
            <w:tcW w:w="1400" w:type="dxa"/>
            <w:tcBorders>
              <w:top w:val="single" w:sz="4" w:space="0" w:color="9BC2E6"/>
              <w:left w:val="nil"/>
              <w:bottom w:val="single" w:sz="4" w:space="0" w:color="9BC2E6"/>
              <w:right w:val="single" w:sz="4" w:space="0" w:color="9BC2E6"/>
            </w:tcBorders>
            <w:shd w:val="clear" w:color="DDEBF7" w:fill="DDEBF7"/>
            <w:noWrap/>
            <w:vAlign w:val="bottom"/>
            <w:hideMark/>
          </w:tcPr>
          <w:p w14:paraId="31FF6636" w14:textId="77777777" w:rsidR="00EC21AB" w:rsidRPr="00B65FFA" w:rsidRDefault="00EC21AB" w:rsidP="00EC21AB">
            <w:pPr>
              <w:spacing w:after="0" w:line="240" w:lineRule="auto"/>
              <w:jc w:val="center"/>
              <w:rPr>
                <w:rFonts w:ascii="Calibri" w:eastAsia="Times New Roman" w:hAnsi="Calibri" w:cs="Calibri"/>
                <w:color w:val="000000"/>
              </w:rPr>
            </w:pPr>
            <w:r w:rsidRPr="00B65FFA">
              <w:rPr>
                <w:rFonts w:ascii="Calibri" w:eastAsia="Times New Roman" w:hAnsi="Calibri" w:cs="Calibri"/>
                <w:color w:val="000000"/>
              </w:rPr>
              <w:t>-</w:t>
            </w:r>
          </w:p>
        </w:tc>
      </w:tr>
    </w:tbl>
    <w:p w14:paraId="395E08D1" w14:textId="0D3600A6" w:rsidR="00B65FFA" w:rsidRPr="00EC21AB" w:rsidRDefault="00CA1C0B">
      <w:pPr>
        <w:rPr>
          <w:b/>
        </w:rPr>
      </w:pPr>
      <w:r w:rsidRPr="00390018">
        <w:rPr>
          <w:b/>
        </w:rPr>
        <w:t>Peer Analysis</w:t>
      </w:r>
      <w:r w:rsidR="00EC21AB">
        <w:rPr>
          <w:b/>
        </w:rPr>
        <w:br/>
      </w:r>
      <w:r w:rsidR="00B3375F">
        <w:t>Estee Lauder has many competitors across the globe in the beauty industry.  However,</w:t>
      </w:r>
      <w:r w:rsidR="008A5D9F">
        <w:t xml:space="preserve"> </w:t>
      </w:r>
      <w:r w:rsidR="00B3375F">
        <w:t xml:space="preserve">competitors such as Proctor &amp; Gamble are diversified into a wide variety of product industries, so we chose some competitors that had a similar overall product base.  </w:t>
      </w:r>
      <w:r w:rsidR="002B3732">
        <w:t>Al</w:t>
      </w:r>
      <w:r w:rsidR="00B3375F">
        <w:t>though the size of the competitors being com</w:t>
      </w:r>
      <w:r w:rsidR="00EC21AB">
        <w:t xml:space="preserve">pared does vary, we choose </w:t>
      </w:r>
      <w:r w:rsidR="00D50272">
        <w:t>L’Oréal</w:t>
      </w:r>
      <w:r w:rsidR="00EC21AB">
        <w:t>,</w:t>
      </w:r>
      <w:r w:rsidR="00B3375F">
        <w:t xml:space="preserve"> </w:t>
      </w:r>
      <w:r w:rsidR="00EC21AB">
        <w:t>Coty</w:t>
      </w:r>
      <w:r w:rsidR="00B3375F">
        <w:t>, Revlon</w:t>
      </w:r>
      <w:r w:rsidR="002B3732">
        <w:t xml:space="preserve">, and </w:t>
      </w:r>
      <w:r w:rsidR="00EC21AB">
        <w:t>Avon</w:t>
      </w:r>
      <w:r w:rsidR="00B3375F">
        <w:t xml:space="preserve"> to compare to Estee Lauder.</w:t>
      </w:r>
      <w:r w:rsidR="002B3732">
        <w:t xml:space="preserve">  Although it is hard to compare drastically different market cap stock’s net income, we did </w:t>
      </w:r>
      <w:r w:rsidR="00D50272">
        <w:t>choose</w:t>
      </w:r>
      <w:r w:rsidR="002B3732">
        <w:t xml:space="preserve"> to use this as a comparison because of what it shows.  When looking at the net income for the four companies being compared to Estee Lauder, Coty, Avon, and Revlon all showed a net loss in at least one of the past five years.</w:t>
      </w:r>
    </w:p>
    <w:p w14:paraId="5CA34A5A" w14:textId="31599E1D" w:rsidR="00CA1C0B" w:rsidRPr="00EC21AB" w:rsidRDefault="00CA1C0B">
      <w:pPr>
        <w:rPr>
          <w:b/>
        </w:rPr>
      </w:pPr>
      <w:r w:rsidRPr="005C6129">
        <w:rPr>
          <w:b/>
        </w:rPr>
        <w:lastRenderedPageBreak/>
        <w:t>Ownership of Shares</w:t>
      </w:r>
      <w:r w:rsidR="00EC21AB">
        <w:rPr>
          <w:b/>
        </w:rPr>
        <w:br/>
      </w:r>
      <w:r w:rsidR="004D6B8E">
        <w:t>Institutional and mutual funds currently hold 98.52% of E</w:t>
      </w:r>
      <w:r w:rsidR="008A5D9F">
        <w:t>stee Lauder</w:t>
      </w:r>
      <w:r w:rsidR="004D6B8E">
        <w:t xml:space="preserve"> shares while insiders</w:t>
      </w:r>
      <w:r w:rsidR="008A5D9F">
        <w:t xml:space="preserve">, not including the members of the Lauder family, </w:t>
      </w:r>
      <w:r w:rsidR="004D6B8E">
        <w:t xml:space="preserve">hold 1.09% of shares. </w:t>
      </w:r>
      <w:r w:rsidR="00E4624C">
        <w:t>The ownership matrix for this company is unique because EL is considered a controlling company according to the SEC. There are four members of the Lauder family employed at EL and on the Board of Directors</w:t>
      </w:r>
      <w:r w:rsidR="007C1B01">
        <w:t xml:space="preserve">. </w:t>
      </w:r>
    </w:p>
    <w:p w14:paraId="30B9868F" w14:textId="39E54ECE" w:rsidR="00CA1C0B" w:rsidRDefault="00CA1C0B">
      <w:r>
        <w:t>Top 5 Shareholders</w:t>
      </w:r>
    </w:p>
    <w:p w14:paraId="1E7AC219" w14:textId="72A45F62" w:rsidR="00A568CD" w:rsidRDefault="00A568CD" w:rsidP="00A568CD">
      <w:pPr>
        <w:pStyle w:val="ListParagraph"/>
        <w:numPr>
          <w:ilvl w:val="0"/>
          <w:numId w:val="3"/>
        </w:numPr>
      </w:pPr>
      <w:r>
        <w:t>Lal Family Corp</w:t>
      </w:r>
      <w:r w:rsidR="0003065D">
        <w:t xml:space="preserve"> – 24.27%</w:t>
      </w:r>
    </w:p>
    <w:p w14:paraId="4B0F1F63" w14:textId="0891A462" w:rsidR="00A568CD" w:rsidRDefault="00A568CD" w:rsidP="00A568CD">
      <w:pPr>
        <w:pStyle w:val="ListParagraph"/>
        <w:numPr>
          <w:ilvl w:val="0"/>
          <w:numId w:val="3"/>
        </w:numPr>
      </w:pPr>
      <w:r>
        <w:t>Fidelity</w:t>
      </w:r>
      <w:r w:rsidR="00DF5FD8">
        <w:t xml:space="preserve"> – 8.027</w:t>
      </w:r>
      <w:r w:rsidR="00BA38E5">
        <w:t xml:space="preserve">% </w:t>
      </w:r>
    </w:p>
    <w:p w14:paraId="66BD1CF1" w14:textId="4EE09B29" w:rsidR="00A568CD" w:rsidRDefault="00A568CD" w:rsidP="00A568CD">
      <w:pPr>
        <w:pStyle w:val="ListParagraph"/>
        <w:numPr>
          <w:ilvl w:val="0"/>
          <w:numId w:val="3"/>
        </w:numPr>
      </w:pPr>
      <w:r>
        <w:t>Vanguard Group</w:t>
      </w:r>
      <w:r w:rsidR="00DF5FD8">
        <w:t xml:space="preserve"> – 6.921</w:t>
      </w:r>
      <w:r w:rsidR="00BA38E5">
        <w:t>%</w:t>
      </w:r>
    </w:p>
    <w:p w14:paraId="049563CC" w14:textId="5BF4381E" w:rsidR="00A568CD" w:rsidRDefault="00A568CD" w:rsidP="00A568CD">
      <w:pPr>
        <w:pStyle w:val="ListParagraph"/>
        <w:numPr>
          <w:ilvl w:val="0"/>
          <w:numId w:val="3"/>
        </w:numPr>
      </w:pPr>
      <w:r>
        <w:t>State Street Corp</w:t>
      </w:r>
      <w:r w:rsidR="00DF5FD8">
        <w:t xml:space="preserve"> – 4.029</w:t>
      </w:r>
      <w:r w:rsidR="00BA38E5">
        <w:t>%</w:t>
      </w:r>
    </w:p>
    <w:p w14:paraId="73BB4231" w14:textId="3FD9BEFE" w:rsidR="00CA1C0B" w:rsidRDefault="00A568CD" w:rsidP="00390018">
      <w:pPr>
        <w:pStyle w:val="ListParagraph"/>
        <w:numPr>
          <w:ilvl w:val="0"/>
          <w:numId w:val="3"/>
        </w:numPr>
      </w:pPr>
      <w:r>
        <w:t>BlackRock Institutional Trust</w:t>
      </w:r>
      <w:r w:rsidR="00DF5FD8">
        <w:t xml:space="preserve"> – 2.926</w:t>
      </w:r>
      <w:r w:rsidR="00BA38E5">
        <w:t>%</w:t>
      </w:r>
    </w:p>
    <w:sectPr w:rsidR="00CA1C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EB4F6" w14:textId="77777777" w:rsidR="001D243F" w:rsidRDefault="001D243F" w:rsidP="00A34EFB">
      <w:pPr>
        <w:spacing w:after="0" w:line="240" w:lineRule="auto"/>
      </w:pPr>
      <w:r>
        <w:separator/>
      </w:r>
    </w:p>
  </w:endnote>
  <w:endnote w:type="continuationSeparator" w:id="0">
    <w:p w14:paraId="1ED33CDD" w14:textId="77777777" w:rsidR="001D243F" w:rsidRDefault="001D243F" w:rsidP="00A34EFB">
      <w:pPr>
        <w:spacing w:after="0" w:line="240" w:lineRule="auto"/>
      </w:pPr>
      <w:r>
        <w:continuationSeparator/>
      </w:r>
    </w:p>
  </w:endnote>
  <w:endnote w:type="continuationNotice" w:id="1">
    <w:p w14:paraId="36BB2851" w14:textId="77777777" w:rsidR="001D243F" w:rsidRDefault="001D2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arlow Solid Italic">
    <w:altName w:val="Playbill"/>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7D28" w14:textId="42D6B63E" w:rsidR="001D243F" w:rsidRDefault="001D243F" w:rsidP="00475F7E">
    <w:pPr>
      <w:pStyle w:val="Footer"/>
      <w:pBdr>
        <w:top w:val="single" w:sz="24" w:space="1" w:color="FFC000"/>
      </w:pBdr>
      <w:jc w:val="center"/>
      <w:rPr>
        <w:i/>
        <w:sz w:val="24"/>
        <w:szCs w:val="24"/>
      </w:rPr>
    </w:pPr>
    <w:r>
      <w:rPr>
        <w:i/>
        <w:sz w:val="24"/>
        <w:szCs w:val="24"/>
      </w:rPr>
      <w:t>Excellence.  Our Measure.  Our Motto.  Our Goal.</w:t>
    </w:r>
  </w:p>
  <w:p w14:paraId="4F023994" w14:textId="6E959083" w:rsidR="001D243F" w:rsidRPr="00A34EFB" w:rsidRDefault="001D243F"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CE519D" w:rsidRPr="00CE519D">
      <w:rPr>
        <w:b/>
        <w:bCs/>
        <w:i/>
        <w:noProof/>
        <w:sz w:val="24"/>
        <w:szCs w:val="24"/>
      </w:rPr>
      <w:t>4</w:t>
    </w:r>
    <w:r w:rsidRPr="00A34EFB">
      <w:rPr>
        <w:b/>
        <w:bCs/>
        <w:i/>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9F496" w14:textId="77777777" w:rsidR="001D243F" w:rsidRDefault="001D243F" w:rsidP="00A34EFB">
      <w:pPr>
        <w:spacing w:after="0" w:line="240" w:lineRule="auto"/>
      </w:pPr>
      <w:r>
        <w:separator/>
      </w:r>
    </w:p>
  </w:footnote>
  <w:footnote w:type="continuationSeparator" w:id="0">
    <w:p w14:paraId="4FFA8E96" w14:textId="77777777" w:rsidR="001D243F" w:rsidRDefault="001D243F" w:rsidP="00A34EFB">
      <w:pPr>
        <w:spacing w:after="0" w:line="240" w:lineRule="auto"/>
      </w:pPr>
      <w:r>
        <w:continuationSeparator/>
      </w:r>
    </w:p>
  </w:footnote>
  <w:footnote w:type="continuationNotice" w:id="1">
    <w:p w14:paraId="6CF0FC51" w14:textId="77777777" w:rsidR="001D243F" w:rsidRDefault="001D24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0171" w14:textId="3FAF595A" w:rsidR="001D243F" w:rsidRPr="00475F7E" w:rsidRDefault="001D243F"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Business  </w:t>
    </w:r>
    <w:r>
      <w:rPr>
        <w:rFonts w:ascii="Harlow Solid Italic" w:eastAsiaTheme="minorEastAsia" w:hAnsi="Harlow Solid Italic" w:cstheme="minorBidi"/>
        <w:color w:val="2F5496" w:themeColor="accent5" w:themeShade="BF"/>
        <w:kern w:val="24"/>
      </w:rPr>
      <w:tab/>
    </w:r>
    <w:r w:rsidRPr="00475F7E">
      <w:rPr>
        <w:rFonts w:asciiTheme="minorHAnsi" w:eastAsiaTheme="minorEastAsia" w:hAnsi="Calibri" w:cstheme="minorBidi"/>
        <w:b/>
        <w:bCs/>
        <w:color w:val="2F5496" w:themeColor="accent5" w:themeShade="BF"/>
        <w:kern w:val="24"/>
      </w:rPr>
      <w:t>FIN439 Investment Strategies – Fall 2017</w:t>
    </w:r>
  </w:p>
  <w:p w14:paraId="7690A540" w14:textId="7136ADF1" w:rsidR="001D243F" w:rsidRDefault="001D243F" w:rsidP="00475F7E">
    <w:pPr>
      <w:pStyle w:val="NormalWeb"/>
      <w:spacing w:before="0" w:beforeAutospacing="0" w:after="0" w:afterAutospacing="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2C55"/>
    <w:multiLevelType w:val="hybridMultilevel"/>
    <w:tmpl w:val="CAB8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14967"/>
    <w:multiLevelType w:val="hybridMultilevel"/>
    <w:tmpl w:val="6AEC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45624"/>
    <w:multiLevelType w:val="hybridMultilevel"/>
    <w:tmpl w:val="EDE28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B"/>
    <w:rsid w:val="00010421"/>
    <w:rsid w:val="00024678"/>
    <w:rsid w:val="0003065D"/>
    <w:rsid w:val="000535F3"/>
    <w:rsid w:val="000865A1"/>
    <w:rsid w:val="000B744C"/>
    <w:rsid w:val="000D5231"/>
    <w:rsid w:val="000E58DC"/>
    <w:rsid w:val="00101B4B"/>
    <w:rsid w:val="0014234B"/>
    <w:rsid w:val="0015763B"/>
    <w:rsid w:val="001828BD"/>
    <w:rsid w:val="001D243F"/>
    <w:rsid w:val="001E43D5"/>
    <w:rsid w:val="001E5F21"/>
    <w:rsid w:val="00212E4A"/>
    <w:rsid w:val="002202CA"/>
    <w:rsid w:val="002319CA"/>
    <w:rsid w:val="00237402"/>
    <w:rsid w:val="00243B96"/>
    <w:rsid w:val="00251EDC"/>
    <w:rsid w:val="00252B77"/>
    <w:rsid w:val="00261B01"/>
    <w:rsid w:val="00276F0A"/>
    <w:rsid w:val="002B3732"/>
    <w:rsid w:val="002D20FC"/>
    <w:rsid w:val="002D5C20"/>
    <w:rsid w:val="002F289B"/>
    <w:rsid w:val="003005FA"/>
    <w:rsid w:val="003040A5"/>
    <w:rsid w:val="00310B43"/>
    <w:rsid w:val="003410FF"/>
    <w:rsid w:val="003557AD"/>
    <w:rsid w:val="00360858"/>
    <w:rsid w:val="0036297C"/>
    <w:rsid w:val="00390018"/>
    <w:rsid w:val="0039480C"/>
    <w:rsid w:val="003B0E16"/>
    <w:rsid w:val="003E11F6"/>
    <w:rsid w:val="00400AED"/>
    <w:rsid w:val="00416928"/>
    <w:rsid w:val="0042505E"/>
    <w:rsid w:val="00463E4B"/>
    <w:rsid w:val="00475F7E"/>
    <w:rsid w:val="0048337C"/>
    <w:rsid w:val="004A6BC3"/>
    <w:rsid w:val="004C121B"/>
    <w:rsid w:val="004D6B8E"/>
    <w:rsid w:val="004F40E9"/>
    <w:rsid w:val="00550C0E"/>
    <w:rsid w:val="00554441"/>
    <w:rsid w:val="00574622"/>
    <w:rsid w:val="005C6129"/>
    <w:rsid w:val="005E1C3E"/>
    <w:rsid w:val="005F66B3"/>
    <w:rsid w:val="0061225A"/>
    <w:rsid w:val="00626116"/>
    <w:rsid w:val="00636A31"/>
    <w:rsid w:val="006A0C52"/>
    <w:rsid w:val="006A4915"/>
    <w:rsid w:val="006C44D8"/>
    <w:rsid w:val="0070574A"/>
    <w:rsid w:val="00707B02"/>
    <w:rsid w:val="007327A8"/>
    <w:rsid w:val="007402D4"/>
    <w:rsid w:val="0074094C"/>
    <w:rsid w:val="0074475E"/>
    <w:rsid w:val="007B4F52"/>
    <w:rsid w:val="007B6B9F"/>
    <w:rsid w:val="007C1B01"/>
    <w:rsid w:val="007D1708"/>
    <w:rsid w:val="00805D28"/>
    <w:rsid w:val="00806A09"/>
    <w:rsid w:val="00814A20"/>
    <w:rsid w:val="008305C5"/>
    <w:rsid w:val="00841CC8"/>
    <w:rsid w:val="00873924"/>
    <w:rsid w:val="00895CEE"/>
    <w:rsid w:val="0089750B"/>
    <w:rsid w:val="008A5A09"/>
    <w:rsid w:val="008A5D9F"/>
    <w:rsid w:val="008C162A"/>
    <w:rsid w:val="008C2E0F"/>
    <w:rsid w:val="008D6568"/>
    <w:rsid w:val="008E18F3"/>
    <w:rsid w:val="00932A49"/>
    <w:rsid w:val="00967DEF"/>
    <w:rsid w:val="00974757"/>
    <w:rsid w:val="00982F01"/>
    <w:rsid w:val="00986B79"/>
    <w:rsid w:val="00997CB0"/>
    <w:rsid w:val="009A5D5A"/>
    <w:rsid w:val="009C05B4"/>
    <w:rsid w:val="009D33DD"/>
    <w:rsid w:val="00A07733"/>
    <w:rsid w:val="00A34EFB"/>
    <w:rsid w:val="00A505B7"/>
    <w:rsid w:val="00A568CD"/>
    <w:rsid w:val="00A83037"/>
    <w:rsid w:val="00AA4FCA"/>
    <w:rsid w:val="00AD553A"/>
    <w:rsid w:val="00AE6CEB"/>
    <w:rsid w:val="00B3375F"/>
    <w:rsid w:val="00B51972"/>
    <w:rsid w:val="00B65FFA"/>
    <w:rsid w:val="00BA38E5"/>
    <w:rsid w:val="00BA565F"/>
    <w:rsid w:val="00BC09F6"/>
    <w:rsid w:val="00BD005F"/>
    <w:rsid w:val="00BE1831"/>
    <w:rsid w:val="00BE6029"/>
    <w:rsid w:val="00BF348D"/>
    <w:rsid w:val="00C0092F"/>
    <w:rsid w:val="00C34284"/>
    <w:rsid w:val="00C556FF"/>
    <w:rsid w:val="00C6601D"/>
    <w:rsid w:val="00C92F8A"/>
    <w:rsid w:val="00CA1C0B"/>
    <w:rsid w:val="00CB1BDB"/>
    <w:rsid w:val="00CE519D"/>
    <w:rsid w:val="00CF15E0"/>
    <w:rsid w:val="00CF4325"/>
    <w:rsid w:val="00D1232B"/>
    <w:rsid w:val="00D23067"/>
    <w:rsid w:val="00D26F0A"/>
    <w:rsid w:val="00D30E5B"/>
    <w:rsid w:val="00D473C1"/>
    <w:rsid w:val="00D50272"/>
    <w:rsid w:val="00D51E39"/>
    <w:rsid w:val="00D5522C"/>
    <w:rsid w:val="00D974CF"/>
    <w:rsid w:val="00DB4AFA"/>
    <w:rsid w:val="00DC4822"/>
    <w:rsid w:val="00DE20E5"/>
    <w:rsid w:val="00DF5FD8"/>
    <w:rsid w:val="00E26817"/>
    <w:rsid w:val="00E41BF2"/>
    <w:rsid w:val="00E4624C"/>
    <w:rsid w:val="00EA66EA"/>
    <w:rsid w:val="00EB07AB"/>
    <w:rsid w:val="00EB594F"/>
    <w:rsid w:val="00EB688B"/>
    <w:rsid w:val="00EB72F5"/>
    <w:rsid w:val="00EC21AB"/>
    <w:rsid w:val="00EF3A30"/>
    <w:rsid w:val="00F342C2"/>
    <w:rsid w:val="00F65347"/>
    <w:rsid w:val="00F83B72"/>
    <w:rsid w:val="00F91142"/>
    <w:rsid w:val="00FD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6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9998">
      <w:bodyDiv w:val="1"/>
      <w:marLeft w:val="0"/>
      <w:marRight w:val="0"/>
      <w:marTop w:val="0"/>
      <w:marBottom w:val="0"/>
      <w:divBdr>
        <w:top w:val="none" w:sz="0" w:space="0" w:color="auto"/>
        <w:left w:val="none" w:sz="0" w:space="0" w:color="auto"/>
        <w:bottom w:val="none" w:sz="0" w:space="0" w:color="auto"/>
        <w:right w:val="none" w:sz="0" w:space="0" w:color="auto"/>
      </w:divBdr>
    </w:div>
    <w:div w:id="165097561">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236932999">
      <w:bodyDiv w:val="1"/>
      <w:marLeft w:val="0"/>
      <w:marRight w:val="0"/>
      <w:marTop w:val="0"/>
      <w:marBottom w:val="0"/>
      <w:divBdr>
        <w:top w:val="none" w:sz="0" w:space="0" w:color="auto"/>
        <w:left w:val="none" w:sz="0" w:space="0" w:color="auto"/>
        <w:bottom w:val="none" w:sz="0" w:space="0" w:color="auto"/>
        <w:right w:val="none" w:sz="0" w:space="0" w:color="auto"/>
      </w:divBdr>
    </w:div>
    <w:div w:id="1369140132">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 w:id="1549805151">
      <w:bodyDiv w:val="1"/>
      <w:marLeft w:val="0"/>
      <w:marRight w:val="0"/>
      <w:marTop w:val="0"/>
      <w:marBottom w:val="0"/>
      <w:divBdr>
        <w:top w:val="none" w:sz="0" w:space="0" w:color="auto"/>
        <w:left w:val="none" w:sz="0" w:space="0" w:color="auto"/>
        <w:bottom w:val="none" w:sz="0" w:space="0" w:color="auto"/>
        <w:right w:val="none" w:sz="0" w:space="0" w:color="auto"/>
      </w:divBdr>
    </w:div>
    <w:div w:id="207069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1075</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Larson, Taylor Danae</cp:lastModifiedBy>
  <cp:revision>62</cp:revision>
  <dcterms:created xsi:type="dcterms:W3CDTF">2017-11-30T18:43:00Z</dcterms:created>
  <dcterms:modified xsi:type="dcterms:W3CDTF">2017-12-11T01:58:00Z</dcterms:modified>
</cp:coreProperties>
</file>