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B7A50C" w14:textId="77777777" w:rsidR="004563D4" w:rsidRDefault="004563D4" w:rsidP="004563D4">
      <w:pPr>
        <w:jc w:val="center"/>
        <w:rPr>
          <w:b/>
          <w:sz w:val="28"/>
          <w:szCs w:val="28"/>
        </w:rPr>
      </w:pPr>
    </w:p>
    <w:p w14:paraId="2F4BE560" w14:textId="77777777" w:rsidR="004563D4" w:rsidRDefault="004563D4" w:rsidP="004563D4">
      <w:pPr>
        <w:jc w:val="center"/>
        <w:rPr>
          <w:b/>
          <w:sz w:val="28"/>
          <w:szCs w:val="28"/>
        </w:rPr>
      </w:pPr>
    </w:p>
    <w:p w14:paraId="032CE7B6" w14:textId="77777777" w:rsidR="004563D4" w:rsidRDefault="004563D4" w:rsidP="004563D4">
      <w:pPr>
        <w:jc w:val="center"/>
        <w:rPr>
          <w:b/>
          <w:sz w:val="28"/>
          <w:szCs w:val="28"/>
        </w:rPr>
      </w:pPr>
    </w:p>
    <w:p w14:paraId="63EA3E39" w14:textId="77777777" w:rsidR="004563D4" w:rsidRDefault="004563D4" w:rsidP="004563D4">
      <w:pPr>
        <w:jc w:val="center"/>
        <w:rPr>
          <w:b/>
          <w:sz w:val="28"/>
          <w:szCs w:val="28"/>
        </w:rPr>
      </w:pPr>
    </w:p>
    <w:p w14:paraId="582C5B52" w14:textId="6CC1DA8D" w:rsidR="004563D4" w:rsidRPr="00866FB6" w:rsidRDefault="4A47D8C0" w:rsidP="4A47D8C0">
      <w:pPr>
        <w:jc w:val="center"/>
        <w:rPr>
          <w:b/>
          <w:bCs/>
          <w:sz w:val="28"/>
          <w:szCs w:val="28"/>
        </w:rPr>
      </w:pPr>
      <w:r w:rsidRPr="4A47D8C0">
        <w:rPr>
          <w:b/>
          <w:bCs/>
          <w:sz w:val="28"/>
          <w:szCs w:val="28"/>
        </w:rPr>
        <w:t>Finance 339</w:t>
      </w:r>
    </w:p>
    <w:p w14:paraId="38B83B05" w14:textId="77777777" w:rsidR="004563D4" w:rsidRDefault="004563D4" w:rsidP="004563D4">
      <w:pPr>
        <w:rPr>
          <w:b/>
          <w:sz w:val="24"/>
          <w:szCs w:val="24"/>
        </w:rPr>
      </w:pPr>
    </w:p>
    <w:p w14:paraId="0EBD0DAE" w14:textId="77777777" w:rsidR="004563D4" w:rsidRDefault="004563D4" w:rsidP="004563D4">
      <w:pPr>
        <w:rPr>
          <w:b/>
          <w:sz w:val="24"/>
          <w:szCs w:val="24"/>
        </w:rPr>
      </w:pPr>
    </w:p>
    <w:p w14:paraId="05C27E0B" w14:textId="2588EC76" w:rsidR="004563D4" w:rsidRPr="00866FB6" w:rsidRDefault="000D7221" w:rsidP="4A47D8C0">
      <w:pPr>
        <w:jc w:val="center"/>
        <w:rPr>
          <w:b/>
          <w:bCs/>
          <w:sz w:val="28"/>
          <w:szCs w:val="28"/>
        </w:rPr>
      </w:pPr>
      <w:r>
        <w:rPr>
          <w:b/>
          <w:bCs/>
          <w:sz w:val="28"/>
          <w:szCs w:val="28"/>
        </w:rPr>
        <w:t xml:space="preserve">Stock Pitch – Constellation Brands, Inc. </w:t>
      </w:r>
    </w:p>
    <w:p w14:paraId="116A1775" w14:textId="77777777" w:rsidR="004563D4" w:rsidRPr="00866FB6" w:rsidRDefault="004563D4" w:rsidP="004563D4">
      <w:pPr>
        <w:jc w:val="center"/>
        <w:rPr>
          <w:b/>
          <w:sz w:val="28"/>
          <w:szCs w:val="28"/>
        </w:rPr>
      </w:pPr>
    </w:p>
    <w:p w14:paraId="2E12A478" w14:textId="77777777" w:rsidR="004563D4" w:rsidRPr="00866FB6" w:rsidRDefault="004563D4" w:rsidP="004563D4">
      <w:pPr>
        <w:jc w:val="center"/>
        <w:rPr>
          <w:b/>
          <w:sz w:val="28"/>
          <w:szCs w:val="28"/>
        </w:rPr>
      </w:pPr>
    </w:p>
    <w:p w14:paraId="1C3C5594" w14:textId="77777777" w:rsidR="004563D4" w:rsidRPr="00866FB6" w:rsidRDefault="004563D4" w:rsidP="004563D4">
      <w:pPr>
        <w:jc w:val="center"/>
        <w:rPr>
          <w:b/>
          <w:sz w:val="28"/>
          <w:szCs w:val="28"/>
        </w:rPr>
      </w:pPr>
    </w:p>
    <w:p w14:paraId="51ABDB44" w14:textId="77777777" w:rsidR="004563D4" w:rsidRPr="00866FB6" w:rsidRDefault="004563D4" w:rsidP="004563D4">
      <w:pPr>
        <w:jc w:val="center"/>
        <w:rPr>
          <w:b/>
          <w:sz w:val="28"/>
          <w:szCs w:val="28"/>
        </w:rPr>
      </w:pPr>
    </w:p>
    <w:p w14:paraId="4907AB00" w14:textId="77777777" w:rsidR="004563D4" w:rsidRPr="00866FB6" w:rsidRDefault="004563D4" w:rsidP="004563D4">
      <w:pPr>
        <w:jc w:val="center"/>
        <w:rPr>
          <w:b/>
          <w:sz w:val="28"/>
          <w:szCs w:val="28"/>
        </w:rPr>
      </w:pPr>
    </w:p>
    <w:p w14:paraId="4637FD09" w14:textId="77777777" w:rsidR="004563D4" w:rsidRPr="00866FB6" w:rsidRDefault="004563D4" w:rsidP="004563D4">
      <w:pPr>
        <w:jc w:val="center"/>
        <w:rPr>
          <w:b/>
          <w:sz w:val="28"/>
          <w:szCs w:val="28"/>
        </w:rPr>
      </w:pPr>
    </w:p>
    <w:p w14:paraId="6CF31A88" w14:textId="77777777" w:rsidR="004563D4" w:rsidRPr="00866FB6" w:rsidRDefault="004563D4" w:rsidP="004563D4">
      <w:pPr>
        <w:jc w:val="center"/>
        <w:rPr>
          <w:b/>
          <w:sz w:val="28"/>
          <w:szCs w:val="28"/>
        </w:rPr>
      </w:pPr>
    </w:p>
    <w:p w14:paraId="454DD28F" w14:textId="77777777" w:rsidR="004563D4" w:rsidRPr="00866FB6" w:rsidRDefault="004563D4" w:rsidP="004563D4">
      <w:pPr>
        <w:jc w:val="center"/>
        <w:rPr>
          <w:b/>
          <w:sz w:val="28"/>
          <w:szCs w:val="28"/>
        </w:rPr>
      </w:pPr>
    </w:p>
    <w:p w14:paraId="55939B3A" w14:textId="77777777" w:rsidR="004563D4" w:rsidRPr="00866FB6" w:rsidRDefault="004563D4" w:rsidP="004563D4">
      <w:pPr>
        <w:jc w:val="center"/>
        <w:rPr>
          <w:b/>
          <w:sz w:val="28"/>
          <w:szCs w:val="28"/>
        </w:rPr>
      </w:pPr>
    </w:p>
    <w:p w14:paraId="1AB6F3C3" w14:textId="77777777" w:rsidR="004563D4" w:rsidRPr="00866FB6" w:rsidRDefault="4A47D8C0" w:rsidP="4A47D8C0">
      <w:pPr>
        <w:jc w:val="center"/>
        <w:rPr>
          <w:b/>
          <w:bCs/>
          <w:sz w:val="28"/>
          <w:szCs w:val="28"/>
        </w:rPr>
      </w:pPr>
      <w:r w:rsidRPr="4A47D8C0">
        <w:rPr>
          <w:b/>
          <w:bCs/>
          <w:sz w:val="28"/>
          <w:szCs w:val="28"/>
        </w:rPr>
        <w:t>Junior Analysts: Jorge Herrero Berengue, Tucker Noe</w:t>
      </w:r>
    </w:p>
    <w:p w14:paraId="77B244B2" w14:textId="77777777" w:rsidR="004563D4" w:rsidRDefault="004563D4" w:rsidP="004563D4">
      <w:pPr>
        <w:jc w:val="center"/>
        <w:rPr>
          <w:b/>
          <w:sz w:val="28"/>
          <w:szCs w:val="28"/>
        </w:rPr>
      </w:pPr>
    </w:p>
    <w:p w14:paraId="0D025E19" w14:textId="77777777" w:rsidR="004563D4" w:rsidRDefault="4A47D8C0" w:rsidP="4A47D8C0">
      <w:pPr>
        <w:jc w:val="center"/>
        <w:rPr>
          <w:b/>
          <w:bCs/>
          <w:sz w:val="28"/>
          <w:szCs w:val="28"/>
        </w:rPr>
      </w:pPr>
      <w:r w:rsidRPr="4A47D8C0">
        <w:rPr>
          <w:b/>
          <w:bCs/>
          <w:sz w:val="28"/>
          <w:szCs w:val="28"/>
        </w:rPr>
        <w:t>Senior Analyst: Brock Schauer</w:t>
      </w:r>
    </w:p>
    <w:p w14:paraId="2EE09B42" w14:textId="77777777" w:rsidR="004563D4" w:rsidRDefault="004563D4" w:rsidP="004563D4">
      <w:pPr>
        <w:jc w:val="center"/>
        <w:rPr>
          <w:b/>
          <w:sz w:val="28"/>
          <w:szCs w:val="28"/>
        </w:rPr>
      </w:pPr>
    </w:p>
    <w:p w14:paraId="1465CC38" w14:textId="17F95BFF" w:rsidR="004563D4" w:rsidRPr="00866FB6" w:rsidRDefault="00FD6B35" w:rsidP="004563D4">
      <w:pPr>
        <w:jc w:val="center"/>
        <w:rPr>
          <w:b/>
          <w:sz w:val="28"/>
          <w:szCs w:val="28"/>
        </w:rPr>
      </w:pPr>
      <w:r>
        <w:rPr>
          <w:sz w:val="24"/>
          <w:szCs w:val="24"/>
        </w:rPr>
        <w:t>October 22, 2018</w:t>
      </w:r>
    </w:p>
    <w:p w14:paraId="205835C5" w14:textId="77777777" w:rsidR="004563D4" w:rsidRPr="00866FB6" w:rsidRDefault="004563D4" w:rsidP="004563D4">
      <w:pPr>
        <w:rPr>
          <w:b/>
          <w:sz w:val="28"/>
          <w:szCs w:val="28"/>
        </w:rPr>
      </w:pPr>
    </w:p>
    <w:p w14:paraId="73138D98" w14:textId="77777777" w:rsidR="004563D4" w:rsidRPr="00866FB6" w:rsidRDefault="004563D4" w:rsidP="004563D4">
      <w:pPr>
        <w:rPr>
          <w:b/>
          <w:sz w:val="28"/>
          <w:szCs w:val="28"/>
        </w:rPr>
      </w:pPr>
    </w:p>
    <w:p w14:paraId="502C07EA" w14:textId="77777777" w:rsidR="004563D4" w:rsidRPr="00866FB6" w:rsidRDefault="004563D4" w:rsidP="004563D4">
      <w:pPr>
        <w:rPr>
          <w:b/>
          <w:sz w:val="28"/>
          <w:szCs w:val="28"/>
        </w:rPr>
      </w:pPr>
    </w:p>
    <w:p w14:paraId="4438740C" w14:textId="144785A8" w:rsidR="004563D4" w:rsidRDefault="004563D4" w:rsidP="7E909BF4">
      <w:pPr>
        <w:rPr>
          <w:b/>
          <w:bCs/>
          <w:sz w:val="24"/>
          <w:szCs w:val="24"/>
        </w:rPr>
      </w:pPr>
    </w:p>
    <w:p w14:paraId="00FCEE0C" w14:textId="20B5D0FD" w:rsidR="00C66FF0" w:rsidRDefault="00C66FF0" w:rsidP="7E909BF4">
      <w:pPr>
        <w:rPr>
          <w:b/>
          <w:bCs/>
          <w:sz w:val="24"/>
          <w:szCs w:val="24"/>
        </w:rPr>
      </w:pPr>
    </w:p>
    <w:p w14:paraId="1DFD7D1F" w14:textId="77777777" w:rsidR="00C66FF0" w:rsidRDefault="00C66FF0" w:rsidP="7E909BF4">
      <w:pPr>
        <w:rPr>
          <w:b/>
          <w:bCs/>
          <w:sz w:val="24"/>
          <w:szCs w:val="24"/>
        </w:rPr>
      </w:pPr>
    </w:p>
    <w:p w14:paraId="08AA0866" w14:textId="77777777" w:rsidR="00C66FF0" w:rsidRDefault="00C66FF0" w:rsidP="7E909BF4">
      <w:pPr>
        <w:rPr>
          <w:b/>
          <w:bCs/>
          <w:sz w:val="24"/>
          <w:szCs w:val="24"/>
        </w:rPr>
      </w:pPr>
    </w:p>
    <w:p w14:paraId="419D50F0" w14:textId="77777777" w:rsidR="00C66FF0" w:rsidRDefault="00C66FF0" w:rsidP="7E909BF4">
      <w:pPr>
        <w:rPr>
          <w:b/>
          <w:bCs/>
          <w:sz w:val="24"/>
          <w:szCs w:val="24"/>
        </w:rPr>
      </w:pPr>
    </w:p>
    <w:p w14:paraId="5F2C8DDE" w14:textId="77777777" w:rsidR="00C66FF0" w:rsidRDefault="00C66FF0" w:rsidP="7E909BF4">
      <w:pPr>
        <w:rPr>
          <w:b/>
          <w:bCs/>
          <w:sz w:val="24"/>
          <w:szCs w:val="24"/>
        </w:rPr>
      </w:pPr>
    </w:p>
    <w:p w14:paraId="6B7091D4" w14:textId="77777777" w:rsidR="00C66FF0" w:rsidRDefault="00C66FF0" w:rsidP="7E909BF4">
      <w:pPr>
        <w:rPr>
          <w:b/>
          <w:bCs/>
          <w:sz w:val="24"/>
          <w:szCs w:val="24"/>
        </w:rPr>
      </w:pPr>
    </w:p>
    <w:p w14:paraId="7832654F" w14:textId="77777777" w:rsidR="00C66FF0" w:rsidRDefault="00C66FF0" w:rsidP="7E909BF4">
      <w:pPr>
        <w:rPr>
          <w:b/>
          <w:bCs/>
          <w:sz w:val="24"/>
          <w:szCs w:val="24"/>
        </w:rPr>
      </w:pPr>
    </w:p>
    <w:p w14:paraId="0B02B5D4" w14:textId="60E7D681" w:rsidR="7E909BF4" w:rsidRDefault="7E909BF4" w:rsidP="7E909BF4">
      <w:pPr>
        <w:rPr>
          <w:b/>
          <w:bCs/>
          <w:sz w:val="24"/>
          <w:szCs w:val="24"/>
        </w:rPr>
      </w:pPr>
    </w:p>
    <w:p w14:paraId="544AFC8F" w14:textId="77777777" w:rsidR="00FD6B35" w:rsidRDefault="00FD6B35" w:rsidP="7E909BF4">
      <w:pPr>
        <w:rPr>
          <w:b/>
          <w:bCs/>
          <w:sz w:val="24"/>
          <w:szCs w:val="24"/>
        </w:rPr>
      </w:pPr>
    </w:p>
    <w:tbl>
      <w:tblPr>
        <w:tblpPr w:leftFromText="180" w:rightFromText="180" w:vertAnchor="text" w:horzAnchor="page" w:tblpX="820" w:tblpY="-66"/>
        <w:tblOverlap w:val="never"/>
        <w:tblW w:w="3209" w:type="dxa"/>
        <w:tblLook w:val="04A0" w:firstRow="1" w:lastRow="0" w:firstColumn="1" w:lastColumn="0" w:noHBand="0" w:noVBand="1"/>
      </w:tblPr>
      <w:tblGrid>
        <w:gridCol w:w="3209"/>
      </w:tblGrid>
      <w:tr w:rsidR="00201C78" w:rsidRPr="00594DD0" w14:paraId="25F463B2" w14:textId="77777777" w:rsidTr="00201C78">
        <w:trPr>
          <w:trHeight w:val="285"/>
        </w:trPr>
        <w:tc>
          <w:tcPr>
            <w:tcW w:w="3209" w:type="dxa"/>
            <w:tcBorders>
              <w:top w:val="nil"/>
              <w:left w:val="nil"/>
              <w:bottom w:val="single" w:sz="12" w:space="0" w:color="FFFFFF"/>
              <w:right w:val="nil"/>
            </w:tcBorders>
            <w:shd w:val="clear" w:color="4472C4" w:fill="4472C4"/>
            <w:noWrap/>
            <w:vAlign w:val="bottom"/>
            <w:hideMark/>
          </w:tcPr>
          <w:p w14:paraId="39FFD0A7" w14:textId="77777777" w:rsidR="00594DD0" w:rsidRPr="00594DD0" w:rsidRDefault="00594DD0" w:rsidP="00594DD0">
            <w:pPr>
              <w:spacing w:line="240" w:lineRule="auto"/>
              <w:contextualSpacing w:val="0"/>
              <w:jc w:val="center"/>
              <w:rPr>
                <w:rFonts w:ascii="Calibri" w:eastAsia="Times New Roman" w:hAnsi="Calibri" w:cs="Times New Roman"/>
                <w:b/>
                <w:bCs/>
                <w:color w:val="FFFFFF"/>
                <w:szCs w:val="24"/>
                <w:lang w:val="en-US"/>
              </w:rPr>
            </w:pPr>
            <w:r w:rsidRPr="00594DD0">
              <w:rPr>
                <w:rFonts w:ascii="Calibri" w:eastAsia="Times New Roman" w:hAnsi="Calibri" w:cs="Times New Roman"/>
                <w:b/>
                <w:bCs/>
                <w:color w:val="FFFFFF"/>
                <w:szCs w:val="24"/>
                <w:lang w:val="en-US"/>
              </w:rPr>
              <w:lastRenderedPageBreak/>
              <w:t>Constellation Brands, Inc.</w:t>
            </w:r>
          </w:p>
        </w:tc>
      </w:tr>
      <w:tr w:rsidR="00201C78" w:rsidRPr="00594DD0" w14:paraId="6BC621A3" w14:textId="77777777" w:rsidTr="00201C78">
        <w:trPr>
          <w:trHeight w:val="285"/>
        </w:trPr>
        <w:tc>
          <w:tcPr>
            <w:tcW w:w="3209" w:type="dxa"/>
            <w:tcBorders>
              <w:top w:val="single" w:sz="4" w:space="0" w:color="FFFFFF"/>
              <w:left w:val="nil"/>
              <w:bottom w:val="single" w:sz="4" w:space="0" w:color="FFFFFF"/>
              <w:right w:val="nil"/>
            </w:tcBorders>
            <w:shd w:val="clear" w:color="B4C6E7" w:fill="B4C6E7"/>
            <w:noWrap/>
            <w:vAlign w:val="bottom"/>
            <w:hideMark/>
          </w:tcPr>
          <w:p w14:paraId="2BA17304"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(NYSE): STZ</w:t>
            </w:r>
          </w:p>
        </w:tc>
      </w:tr>
      <w:tr w:rsidR="00201C78" w:rsidRPr="00594DD0" w14:paraId="09F89AD0" w14:textId="77777777" w:rsidTr="00201C78">
        <w:trPr>
          <w:trHeight w:val="285"/>
        </w:trPr>
        <w:tc>
          <w:tcPr>
            <w:tcW w:w="3209" w:type="dxa"/>
            <w:tcBorders>
              <w:top w:val="single" w:sz="4" w:space="0" w:color="FFFFFF"/>
              <w:left w:val="nil"/>
              <w:bottom w:val="single" w:sz="4" w:space="0" w:color="FFFFFF"/>
              <w:right w:val="nil"/>
            </w:tcBorders>
            <w:shd w:val="clear" w:color="D9E1F2" w:fill="D9E1F2"/>
            <w:noWrap/>
            <w:vAlign w:val="bottom"/>
            <w:hideMark/>
          </w:tcPr>
          <w:p w14:paraId="2B056B78"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Beverages</w:t>
            </w:r>
          </w:p>
        </w:tc>
      </w:tr>
      <w:tr w:rsidR="00201C78" w:rsidRPr="00594DD0" w14:paraId="3F0FB46B" w14:textId="77777777" w:rsidTr="00201C78">
        <w:trPr>
          <w:trHeight w:val="285"/>
        </w:trPr>
        <w:tc>
          <w:tcPr>
            <w:tcW w:w="3209" w:type="dxa"/>
            <w:tcBorders>
              <w:top w:val="single" w:sz="4" w:space="0" w:color="FFFFFF"/>
              <w:left w:val="nil"/>
              <w:bottom w:val="single" w:sz="4" w:space="0" w:color="FFFFFF"/>
              <w:right w:val="nil"/>
            </w:tcBorders>
            <w:shd w:val="clear" w:color="B4C6E7" w:fill="B4C6E7"/>
            <w:noWrap/>
            <w:vAlign w:val="bottom"/>
            <w:hideMark/>
          </w:tcPr>
          <w:p w14:paraId="2157C43A"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Valuation Date:</w:t>
            </w:r>
          </w:p>
        </w:tc>
      </w:tr>
      <w:tr w:rsidR="00201C78" w:rsidRPr="00594DD0" w14:paraId="27788E20" w14:textId="77777777" w:rsidTr="00201C78">
        <w:trPr>
          <w:trHeight w:val="285"/>
        </w:trPr>
        <w:tc>
          <w:tcPr>
            <w:tcW w:w="3209" w:type="dxa"/>
            <w:tcBorders>
              <w:top w:val="single" w:sz="4" w:space="0" w:color="FFFFFF"/>
              <w:left w:val="nil"/>
              <w:bottom w:val="single" w:sz="4" w:space="0" w:color="FFFFFF"/>
              <w:right w:val="nil"/>
            </w:tcBorders>
            <w:shd w:val="clear" w:color="D9E1F2" w:fill="D9E1F2"/>
            <w:noWrap/>
            <w:vAlign w:val="bottom"/>
            <w:hideMark/>
          </w:tcPr>
          <w:p w14:paraId="5889546C"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October 19, 2018</w:t>
            </w:r>
          </w:p>
        </w:tc>
      </w:tr>
      <w:tr w:rsidR="00201C78" w:rsidRPr="00594DD0" w14:paraId="7BA92242" w14:textId="77777777" w:rsidTr="00201C78">
        <w:trPr>
          <w:trHeight w:val="285"/>
        </w:trPr>
        <w:tc>
          <w:tcPr>
            <w:tcW w:w="3209" w:type="dxa"/>
            <w:tcBorders>
              <w:top w:val="single" w:sz="4" w:space="0" w:color="FFFFFF"/>
              <w:left w:val="nil"/>
              <w:bottom w:val="single" w:sz="4" w:space="0" w:color="FFFFFF"/>
              <w:right w:val="nil"/>
            </w:tcBorders>
            <w:shd w:val="clear" w:color="B4C6E7" w:fill="B4C6E7"/>
            <w:noWrap/>
            <w:vAlign w:val="bottom"/>
            <w:hideMark/>
          </w:tcPr>
          <w:p w14:paraId="56F121C3"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Current Price: $222.93</w:t>
            </w:r>
          </w:p>
        </w:tc>
      </w:tr>
      <w:tr w:rsidR="00201C78" w:rsidRPr="00594DD0" w14:paraId="2B2DE787" w14:textId="77777777" w:rsidTr="00201C78">
        <w:trPr>
          <w:trHeight w:val="285"/>
        </w:trPr>
        <w:tc>
          <w:tcPr>
            <w:tcW w:w="3209" w:type="dxa"/>
            <w:tcBorders>
              <w:top w:val="single" w:sz="4" w:space="0" w:color="FFFFFF"/>
              <w:left w:val="nil"/>
              <w:bottom w:val="single" w:sz="4" w:space="0" w:color="FFFFFF"/>
              <w:right w:val="nil"/>
            </w:tcBorders>
            <w:shd w:val="clear" w:color="D9E1F2" w:fill="D9E1F2"/>
            <w:noWrap/>
            <w:vAlign w:val="bottom"/>
            <w:hideMark/>
          </w:tcPr>
          <w:p w14:paraId="229437D0"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Target Range:</w:t>
            </w:r>
          </w:p>
        </w:tc>
      </w:tr>
      <w:tr w:rsidR="00201C78" w:rsidRPr="00594DD0" w14:paraId="7FC6950B" w14:textId="77777777" w:rsidTr="00201C78">
        <w:trPr>
          <w:trHeight w:val="285"/>
        </w:trPr>
        <w:tc>
          <w:tcPr>
            <w:tcW w:w="3209" w:type="dxa"/>
            <w:tcBorders>
              <w:top w:val="single" w:sz="4" w:space="0" w:color="FFFFFF"/>
              <w:left w:val="nil"/>
              <w:bottom w:val="nil"/>
              <w:right w:val="nil"/>
            </w:tcBorders>
            <w:shd w:val="clear" w:color="B4C6E7" w:fill="B4C6E7"/>
            <w:noWrap/>
            <w:vAlign w:val="bottom"/>
            <w:hideMark/>
          </w:tcPr>
          <w:p w14:paraId="1B17EC07" w14:textId="77777777" w:rsidR="00594DD0" w:rsidRPr="00594DD0" w:rsidRDefault="00594DD0" w:rsidP="00594DD0">
            <w:pPr>
              <w:spacing w:line="240" w:lineRule="auto"/>
              <w:contextualSpacing w:val="0"/>
              <w:jc w:val="center"/>
              <w:rPr>
                <w:rFonts w:ascii="Calibri" w:eastAsia="Times New Roman" w:hAnsi="Calibri" w:cs="Times New Roman"/>
                <w:color w:val="000000"/>
                <w:szCs w:val="24"/>
                <w:lang w:val="en-US"/>
              </w:rPr>
            </w:pPr>
            <w:r w:rsidRPr="00594DD0">
              <w:rPr>
                <w:rFonts w:ascii="Calibri" w:eastAsia="Times New Roman" w:hAnsi="Calibri" w:cs="Times New Roman"/>
                <w:color w:val="000000"/>
                <w:szCs w:val="24"/>
                <w:lang w:val="en-US"/>
              </w:rPr>
              <w:t>$258.54-$279.19</w:t>
            </w:r>
          </w:p>
        </w:tc>
      </w:tr>
    </w:tbl>
    <w:p w14:paraId="704F87E4" w14:textId="7329A38D" w:rsidR="00594DD0" w:rsidRDefault="004563D4" w:rsidP="00FD6B35">
      <w:pPr>
        <w:ind w:left="3600"/>
        <w:jc w:val="both"/>
      </w:pPr>
      <w:r w:rsidRPr="3B45A482">
        <w:rPr>
          <w:b/>
          <w:bCs/>
          <w:color w:val="3B3838" w:themeColor="background2" w:themeShade="40"/>
          <w:sz w:val="24"/>
          <w:szCs w:val="24"/>
          <w:u w:val="single"/>
        </w:rPr>
        <w:t>Introduction</w:t>
      </w:r>
      <w:r w:rsidR="001E5F6A">
        <w:rPr>
          <w:b/>
          <w:color w:val="3B3838" w:themeColor="background2" w:themeShade="40"/>
          <w:sz w:val="24"/>
          <w:szCs w:val="24"/>
          <w:u w:val="single"/>
        </w:rPr>
        <w:tab/>
      </w:r>
      <w:r w:rsidR="001E5F6A">
        <w:rPr>
          <w:b/>
          <w:color w:val="3B3838" w:themeColor="background2" w:themeShade="40"/>
          <w:sz w:val="24"/>
          <w:szCs w:val="24"/>
          <w:u w:val="single"/>
        </w:rPr>
        <w:tab/>
      </w:r>
      <w:r w:rsidR="001E5F6A">
        <w:rPr>
          <w:b/>
          <w:color w:val="3B3838" w:themeColor="background2" w:themeShade="40"/>
          <w:sz w:val="24"/>
          <w:szCs w:val="24"/>
          <w:u w:val="single"/>
        </w:rPr>
        <w:tab/>
      </w:r>
      <w:r w:rsidR="001E5F6A">
        <w:rPr>
          <w:b/>
          <w:color w:val="3B3838" w:themeColor="background2" w:themeShade="40"/>
          <w:sz w:val="24"/>
          <w:szCs w:val="24"/>
          <w:u w:val="single"/>
        </w:rPr>
        <w:tab/>
      </w:r>
      <w:r w:rsidR="001E5F6A">
        <w:rPr>
          <w:b/>
          <w:color w:val="3B3838" w:themeColor="background2" w:themeShade="40"/>
          <w:sz w:val="24"/>
          <w:szCs w:val="24"/>
          <w:u w:val="single"/>
        </w:rPr>
        <w:tab/>
      </w:r>
      <w:r w:rsidR="001E5F6A">
        <w:rPr>
          <w:b/>
          <w:color w:val="3B3838" w:themeColor="background2" w:themeShade="40"/>
          <w:sz w:val="24"/>
          <w:szCs w:val="24"/>
          <w:u w:val="single"/>
        </w:rPr>
        <w:tab/>
      </w:r>
      <w:r w:rsidR="001E5F6A">
        <w:rPr>
          <w:b/>
          <w:color w:val="3B3838" w:themeColor="background2" w:themeShade="40"/>
          <w:sz w:val="24"/>
          <w:szCs w:val="24"/>
          <w:u w:val="single"/>
        </w:rPr>
        <w:tab/>
      </w:r>
      <w:r w:rsidR="001E5F6A">
        <w:rPr>
          <w:b/>
          <w:color w:val="3B3838" w:themeColor="background2" w:themeShade="40"/>
          <w:sz w:val="24"/>
          <w:szCs w:val="24"/>
          <w:u w:val="single"/>
        </w:rPr>
        <w:tab/>
      </w:r>
      <w:r w:rsidR="00C66FF0">
        <w:rPr>
          <w:b/>
          <w:color w:val="3B3838" w:themeColor="background2" w:themeShade="40"/>
          <w:sz w:val="24"/>
          <w:szCs w:val="24"/>
          <w:u w:val="single"/>
        </w:rPr>
        <w:tab/>
      </w:r>
    </w:p>
    <w:p w14:paraId="677B6420" w14:textId="24ABA3EF" w:rsidR="00A124E8" w:rsidRDefault="00C873DA" w:rsidP="00FD6B35">
      <w:pPr>
        <w:ind w:left="3600"/>
        <w:jc w:val="both"/>
      </w:pPr>
      <w:r>
        <w:rPr>
          <w:noProof/>
          <w:lang w:val="en-US"/>
        </w:rPr>
        <mc:AlternateContent>
          <mc:Choice Requires="wps">
            <w:drawing>
              <wp:anchor distT="0" distB="0" distL="114300" distR="114300" simplePos="0" relativeHeight="251659264" behindDoc="0" locked="0" layoutInCell="1" allowOverlap="1" wp14:anchorId="561B3EF7" wp14:editId="2D8826C3">
                <wp:simplePos x="0" y="0"/>
                <wp:positionH relativeFrom="column">
                  <wp:posOffset>-7620</wp:posOffset>
                </wp:positionH>
                <wp:positionV relativeFrom="paragraph">
                  <wp:posOffset>2733040</wp:posOffset>
                </wp:positionV>
                <wp:extent cx="1468120" cy="222250"/>
                <wp:effectExtent l="0" t="0" r="0" b="6350"/>
                <wp:wrapSquare wrapText="bothSides"/>
                <wp:docPr id="4" name="Text Box 4"/>
                <wp:cNvGraphicFramePr/>
                <a:graphic xmlns:a="http://schemas.openxmlformats.org/drawingml/2006/main">
                  <a:graphicData uri="http://schemas.microsoft.com/office/word/2010/wordprocessingShape">
                    <wps:wsp>
                      <wps:cNvSpPr txBox="1"/>
                      <wps:spPr>
                        <a:xfrm>
                          <a:off x="0" y="0"/>
                          <a:ext cx="1468120" cy="2222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FA4E712" w14:textId="5ADF6C5C" w:rsidR="00201C78" w:rsidRPr="00201C78" w:rsidRDefault="00201C78">
                            <w:pPr>
                              <w:rPr>
                                <w:i/>
                                <w:sz w:val="16"/>
                              </w:rPr>
                            </w:pPr>
                            <w:r w:rsidRPr="00201C78">
                              <w:rPr>
                                <w:i/>
                                <w:sz w:val="16"/>
                              </w:rPr>
                              <w:t>Source: Company Filings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1B3EF7" id="_x0000_t202" coordsize="21600,21600" o:spt="202" path="m,l,21600r21600,l21600,xe">
                <v:stroke joinstyle="miter"/>
                <v:path gradientshapeok="t" o:connecttype="rect"/>
              </v:shapetype>
              <v:shape id="Text Box 4" o:spid="_x0000_s1026" type="#_x0000_t202" style="position:absolute;left:0;text-align:left;margin-left:-.6pt;margin-top:215.2pt;width:115.6pt;height: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" filled="f" stroked="f">
                <v:textbox>
                  <w:txbxContent>
                    <w:p w14:paraId="6FA4E712" w14:textId="5ADF6C5C" w:rsidR="00201C78" w:rsidRPr="00201C78" w:rsidRDefault="00201C78">
                      <w:pPr>
                        <w:rPr>
                          <w:i/>
                          <w:sz w:val="16"/>
                        </w:rPr>
                      </w:pPr>
                      <w:r w:rsidRPr="00201C78">
                        <w:rPr>
                          <w:i/>
                          <w:sz w:val="16"/>
                        </w:rPr>
                        <w:t>Source: Company Filings</w:t>
                      </w:r>
                    </w:p>
                  </w:txbxContent>
                </v:textbox>
                <w10:wrap type="square"/>
              </v:shape>
            </w:pict>
          </mc:Fallback>
        </mc:AlternateContent>
      </w:r>
      <w:r w:rsidR="00201C78">
        <w:rPr>
          <w:noProof/>
          <w:lang w:val="en-US"/>
        </w:rPr>
        <w:drawing>
          <wp:anchor distT="0" distB="0" distL="114300" distR="114300" simplePos="0" relativeHeight="251658240" behindDoc="0" locked="0" layoutInCell="1" allowOverlap="1" wp14:anchorId="2AC076BD" wp14:editId="2F0424CC">
            <wp:simplePos x="0" y="0"/>
            <wp:positionH relativeFrom="column">
              <wp:posOffset>-7620</wp:posOffset>
            </wp:positionH>
            <wp:positionV relativeFrom="paragraph">
              <wp:posOffset>1354455</wp:posOffset>
            </wp:positionV>
            <wp:extent cx="2166620" cy="1520190"/>
            <wp:effectExtent l="0" t="0" r="0" b="3810"/>
            <wp:wrapSquare wrapText="bothSides"/>
            <wp:docPr id="3" name="Chart 3">
              <a:extLst xmlns:a="http://schemas.openxmlformats.org/drawingml/2006/main">
                <a:ext uri="{FF2B5EF4-FFF2-40B4-BE49-F238E27FC236}">
                  <a16:creationId xmlns:a16="http://schemas.microsoft.com/office/drawing/2014/main" id="{00000000-0008-0000-04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r w:rsidR="009F4C9D">
        <w:t>Constellation Brands, In</w:t>
      </w:r>
      <w:r w:rsidR="005F5EC5">
        <w:t xml:space="preserve">c. is the third largest alcohol </w:t>
      </w:r>
      <w:r w:rsidR="009F4C9D">
        <w:t>manufacturer and distributer and is the largest beer importing company in the United States. They have a diverse portfolio of specialty and craft beers</w:t>
      </w:r>
      <w:r w:rsidR="008850CC">
        <w:t xml:space="preserve"> (50%)</w:t>
      </w:r>
      <w:r w:rsidR="009F4C9D">
        <w:t>, as well as diversity within their wine</w:t>
      </w:r>
      <w:r w:rsidR="007E1A8B">
        <w:t xml:space="preserve"> (48%)</w:t>
      </w:r>
      <w:r w:rsidR="009F4C9D">
        <w:t xml:space="preserve"> and spirit</w:t>
      </w:r>
      <w:r w:rsidR="007E1A8B">
        <w:t xml:space="preserve"> (2%)</w:t>
      </w:r>
      <w:r w:rsidR="009F4C9D">
        <w:t xml:space="preserve"> segments.</w:t>
      </w:r>
      <w:r w:rsidR="0081690A">
        <w:t xml:space="preserve"> </w:t>
      </w:r>
      <w:r w:rsidR="00E13332">
        <w:t>Originally</w:t>
      </w:r>
      <w:r w:rsidR="00222783">
        <w:t xml:space="preserve"> operating</w:t>
      </w:r>
      <w:r w:rsidR="00E07AF2">
        <w:t xml:space="preserve"> as a local wine di</w:t>
      </w:r>
      <w:r w:rsidR="001A6702">
        <w:t>stributor,</w:t>
      </w:r>
      <w:r w:rsidR="007E1A8B">
        <w:t xml:space="preserve"> acquisitions has allowed this company to grow to </w:t>
      </w:r>
      <w:r w:rsidR="00996BD8">
        <w:t xml:space="preserve">the </w:t>
      </w:r>
      <w:r w:rsidR="007E1A8B">
        <w:t>largest United States beer importer</w:t>
      </w:r>
      <w:r w:rsidR="00222783">
        <w:t>.</w:t>
      </w:r>
      <w:r w:rsidR="00CC54DA">
        <w:t xml:space="preserve"> </w:t>
      </w:r>
      <w:r w:rsidR="00222783">
        <w:t>Now having one of the world</w:t>
      </w:r>
      <w:r w:rsidR="00E13332">
        <w:t>’</w:t>
      </w:r>
      <w:r w:rsidR="00222783">
        <w:t xml:space="preserve">s most </w:t>
      </w:r>
      <w:r w:rsidR="00E13332">
        <w:t>recognizable</w:t>
      </w:r>
      <w:r w:rsidR="00222783">
        <w:t xml:space="preserve"> beer brands, Corona, Constellation Brands has emerged into the leading alcohol trends in the Un</w:t>
      </w:r>
      <w:r w:rsidR="00E13332">
        <w:t>i</w:t>
      </w:r>
      <w:r w:rsidR="00222783">
        <w:t xml:space="preserve">ted States. </w:t>
      </w:r>
      <w:r w:rsidR="0081690A">
        <w:t xml:space="preserve">Headquartered in New York, Constellation Brands has 40 facilities around the world and over 9,000 employees. </w:t>
      </w:r>
      <w:r w:rsidR="004A2D70">
        <w:t xml:space="preserve">The Company has maintained their position on the emerging craft beer segment in the United </w:t>
      </w:r>
      <w:r w:rsidR="007303D9">
        <w:t>States and</w:t>
      </w:r>
      <w:r w:rsidR="004A2D70">
        <w:t xml:space="preserve"> has enter the </w:t>
      </w:r>
      <w:r w:rsidR="00560746">
        <w:t xml:space="preserve">cannabis industry </w:t>
      </w:r>
      <w:r w:rsidR="004A2D70">
        <w:t>by recently taking 38% stake in</w:t>
      </w:r>
      <w:r w:rsidR="00560746">
        <w:t xml:space="preserve"> the world’s largest </w:t>
      </w:r>
      <w:r w:rsidR="00E13332">
        <w:t>cannabis</w:t>
      </w:r>
      <w:r w:rsidR="00560746">
        <w:t xml:space="preserve"> company,</w:t>
      </w:r>
      <w:r w:rsidR="004A2D70">
        <w:t xml:space="preserve"> </w:t>
      </w:r>
      <w:r w:rsidR="00E13332">
        <w:t>Canopy</w:t>
      </w:r>
      <w:r w:rsidR="004A2D70">
        <w:t xml:space="preserve"> Growth (NYSE: CGC</w:t>
      </w:r>
      <w:r w:rsidR="00560746">
        <w:t xml:space="preserve">). </w:t>
      </w:r>
      <w:r w:rsidR="00FD273F">
        <w:t xml:space="preserve">2018 showed news highs for Constellation Brands, by increasing net income and EPS by 51% and 74% respectfully. </w:t>
      </w:r>
    </w:p>
    <w:p w14:paraId="356270B6" w14:textId="5E04DE14" w:rsidR="00201C78" w:rsidRPr="001E5F6A" w:rsidRDefault="00201C78" w:rsidP="00FD6B35">
      <w:pPr>
        <w:ind w:left="3600"/>
        <w:jc w:val="both"/>
        <w:rPr>
          <w:sz w:val="21"/>
          <w:szCs w:val="21"/>
        </w:rPr>
      </w:pPr>
    </w:p>
    <w:p w14:paraId="46105E44" w14:textId="15CBE73B" w:rsidR="00374713" w:rsidRDefault="00AB0D56" w:rsidP="007B516E">
      <w:pPr>
        <w:ind w:left="90"/>
        <w:contextualSpacing w:val="0"/>
        <w:rPr>
          <w:b/>
          <w:bCs/>
          <w:color w:val="3B3838" w:themeColor="background2" w:themeShade="40"/>
          <w:sz w:val="24"/>
          <w:szCs w:val="24"/>
          <w:u w:val="single"/>
        </w:rPr>
      </w:pPr>
      <w:r>
        <w:rPr>
          <w:b/>
          <w:bCs/>
          <w:noProof/>
          <w:color w:val="3B3838" w:themeColor="background2" w:themeShade="40"/>
          <w:sz w:val="24"/>
          <w:szCs w:val="24"/>
          <w:u w:val="single"/>
          <w:lang w:val="en-US"/>
        </w:rPr>
        <w:drawing>
          <wp:inline distT="0" distB="0" distL="0" distR="0" wp14:anchorId="70CBF33D" wp14:editId="65EFC467">
            <wp:extent cx="6913575" cy="274046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Z Stock Chart 10.18.2018[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94329" cy="2772475"/>
                    </a:xfrm>
                    <a:prstGeom prst="rect">
                      <a:avLst/>
                    </a:prstGeom>
                  </pic:spPr>
                </pic:pic>
              </a:graphicData>
            </a:graphic>
          </wp:inline>
        </w:drawing>
      </w:r>
    </w:p>
    <w:p w14:paraId="1F745355" w14:textId="44EA8320" w:rsidR="00594DD0" w:rsidRDefault="00E40504" w:rsidP="00FD6B35">
      <w:pPr>
        <w:ind w:left="3600"/>
        <w:contextualSpacing w:val="0"/>
        <w:rPr>
          <w:b/>
          <w:bCs/>
          <w:color w:val="3B3838" w:themeColor="background2" w:themeShade="40"/>
          <w:sz w:val="24"/>
          <w:szCs w:val="24"/>
          <w:highlight w:val="yellow"/>
          <w:u w:val="single"/>
        </w:rPr>
      </w:pPr>
      <w:r>
        <w:rPr>
          <w:noProof/>
          <w:lang w:val="en-US"/>
        </w:rPr>
        <mc:AlternateContent>
          <mc:Choice Requires="wps">
            <w:drawing>
              <wp:anchor distT="0" distB="0" distL="114300" distR="114300" simplePos="0" relativeHeight="251661312" behindDoc="0" locked="0" layoutInCell="1" allowOverlap="1" wp14:anchorId="0ADA53AC" wp14:editId="0AEBD242">
                <wp:simplePos x="0" y="0"/>
                <wp:positionH relativeFrom="column">
                  <wp:posOffset>-6350</wp:posOffset>
                </wp:positionH>
                <wp:positionV relativeFrom="paragraph">
                  <wp:posOffset>54610</wp:posOffset>
                </wp:positionV>
                <wp:extent cx="1747520" cy="199390"/>
                <wp:effectExtent l="0" t="0" r="0" b="3810"/>
                <wp:wrapTight wrapText="bothSides">
                  <wp:wrapPolygon edited="0">
                    <wp:start x="314" y="0"/>
                    <wp:lineTo x="314" y="19261"/>
                    <wp:lineTo x="21035" y="19261"/>
                    <wp:lineTo x="21035" y="0"/>
                    <wp:lineTo x="314" y="0"/>
                  </wp:wrapPolygon>
                </wp:wrapTight>
                <wp:docPr id="6" name="Text Box 6"/>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B0DAD5B" w14:textId="05D3D035" w:rsidR="00201C78" w:rsidRPr="00201C78" w:rsidRDefault="00201C78" w:rsidP="00201C78">
                            <w:pPr>
                              <w:rPr>
                                <w:i/>
                                <w:sz w:val="16"/>
                              </w:rPr>
                            </w:pPr>
                            <w:r>
                              <w:rPr>
                                <w:i/>
                                <w:sz w:val="16"/>
                              </w:rPr>
                              <w:t>Source: Bloomberg 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53AC" id="Text Box 6" o:spid="_x0000_s1027" type="#_x0000_t202" style="position:absolute;left:0;text-align:left;margin-left:-.5pt;margin-top:4.3pt;width:137.6pt;height:1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" filled="f" stroked="f">
                <v:textbox>
                  <w:txbxContent>
                    <w:p w14:paraId="5B0DAD5B" w14:textId="05D3D035" w:rsidR="00201C78" w:rsidRPr="00201C78" w:rsidRDefault="00201C78" w:rsidP="00201C78">
                      <w:pPr>
                        <w:rPr>
                          <w:i/>
                          <w:sz w:val="16"/>
                        </w:rPr>
                      </w:pPr>
                      <w:r>
                        <w:rPr>
                          <w:i/>
                          <w:sz w:val="16"/>
                        </w:rPr>
                        <w:t>Source: Bloomberg Terminal</w:t>
                      </w:r>
                    </w:p>
                  </w:txbxContent>
                </v:textbox>
                <w10:wrap type="tight"/>
              </v:shape>
            </w:pict>
          </mc:Fallback>
        </mc:AlternateContent>
      </w:r>
    </w:p>
    <w:p w14:paraId="441C640B" w14:textId="73B53CD6" w:rsidR="004563D4" w:rsidRPr="00D22076" w:rsidRDefault="00E40504" w:rsidP="00594DD0">
      <w:pPr>
        <w:ind w:left="3600"/>
        <w:contextualSpacing w:val="0"/>
        <w:rPr>
          <w:b/>
          <w:bCs/>
          <w:color w:val="3B3838" w:themeColor="background2" w:themeShade="40"/>
          <w:sz w:val="24"/>
          <w:szCs w:val="24"/>
          <w:u w:val="single"/>
        </w:rPr>
      </w:pPr>
      <w:r>
        <w:rPr>
          <w:noProof/>
          <w:lang w:val="en-US"/>
        </w:rPr>
        <w:drawing>
          <wp:anchor distT="0" distB="0" distL="114300" distR="114300" simplePos="0" relativeHeight="251665408" behindDoc="0" locked="0" layoutInCell="1" allowOverlap="1" wp14:anchorId="4DED547C" wp14:editId="2A89D2CF">
            <wp:simplePos x="0" y="0"/>
            <wp:positionH relativeFrom="column">
              <wp:posOffset>-73660</wp:posOffset>
            </wp:positionH>
            <wp:positionV relativeFrom="paragraph">
              <wp:posOffset>77470</wp:posOffset>
            </wp:positionV>
            <wp:extent cx="2236470" cy="1744980"/>
            <wp:effectExtent l="0" t="0" r="0" b="762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D6B35" w:rsidRPr="00FC18FB">
        <w:rPr>
          <w:b/>
          <w:bCs/>
          <w:color w:val="3B3838" w:themeColor="background2" w:themeShade="40"/>
          <w:sz w:val="24"/>
          <w:szCs w:val="24"/>
          <w:u w:val="single"/>
        </w:rPr>
        <w:t>Recommendation</w:t>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p>
    <w:p w14:paraId="483F7403" w14:textId="7AB99EF3" w:rsidR="00AB0D56" w:rsidRPr="005D3C83" w:rsidRDefault="00E75C02" w:rsidP="005D3C83">
      <w:pPr>
        <w:ind w:left="3600"/>
        <w:contextualSpacing w:val="0"/>
        <w:jc w:val="both"/>
      </w:pPr>
      <w:r>
        <w:t>We recommend</w:t>
      </w:r>
      <w:r w:rsidR="006747C0">
        <w:t xml:space="preserve"> a BUY for Constellation Brands, Inc. with a</w:t>
      </w:r>
      <w:r w:rsidR="005C7165">
        <w:t xml:space="preserve"> current target price from $258.54 to $279.19</w:t>
      </w:r>
      <w:r w:rsidR="00996BD8">
        <w:t>,</w:t>
      </w:r>
      <w:r w:rsidR="006747C0">
        <w:t xml:space="preserve"> which would result</w:t>
      </w:r>
      <w:r w:rsidR="00FA547E">
        <w:t xml:space="preserve"> in an upside potential of 15.97</w:t>
      </w:r>
      <w:r w:rsidR="006747C0">
        <w:t>%</w:t>
      </w:r>
      <w:r w:rsidR="00FA547E">
        <w:t xml:space="preserve"> to 25.24%</w:t>
      </w:r>
      <w:r w:rsidR="00A260B4">
        <w:t xml:space="preserve">. We used a combination valuation of </w:t>
      </w:r>
      <w:r w:rsidR="00C95721">
        <w:t>5-year</w:t>
      </w:r>
      <w:r w:rsidR="00A260B4">
        <w:t xml:space="preserve"> DCF valuation and a Price-to Earnings </w:t>
      </w:r>
      <w:r w:rsidR="00BF1236">
        <w:t>valuation</w:t>
      </w:r>
      <w:r w:rsidR="00A260B4">
        <w:t xml:space="preserve">. </w:t>
      </w:r>
      <w:r w:rsidR="00BF1236">
        <w:t>The history of Constellation Brands has resulted in a reduction of future earnings which as decreased the value of the stock. Using a Price-to-Earnings value showed they are undervalued compared to their closest competitors, which the DCF showed how their future earnings could show their huge impacts from their recent investments.</w:t>
      </w:r>
    </w:p>
    <w:p w14:paraId="6A885311" w14:textId="62D7E215" w:rsidR="004563D4" w:rsidRPr="00D22076" w:rsidRDefault="0040689D" w:rsidP="4A47D8C0">
      <w:pPr>
        <w:ind w:left="3600"/>
        <w:contextualSpacing w:val="0"/>
        <w:rPr>
          <w:b/>
          <w:bCs/>
          <w:color w:val="3B3838" w:themeColor="background2" w:themeShade="40"/>
          <w:sz w:val="24"/>
          <w:szCs w:val="24"/>
          <w:u w:val="single"/>
        </w:rPr>
      </w:pPr>
      <w:r>
        <w:rPr>
          <w:noProof/>
          <w:lang w:val="en-US"/>
        </w:rPr>
        <w:lastRenderedPageBreak/>
        <w:drawing>
          <wp:anchor distT="0" distB="0" distL="114300" distR="114300" simplePos="0" relativeHeight="251679744" behindDoc="0" locked="0" layoutInCell="1" allowOverlap="1" wp14:anchorId="1C4A8834" wp14:editId="01F47750">
            <wp:simplePos x="0" y="0"/>
            <wp:positionH relativeFrom="column">
              <wp:posOffset>-218049</wp:posOffset>
            </wp:positionH>
            <wp:positionV relativeFrom="paragraph">
              <wp:posOffset>440</wp:posOffset>
            </wp:positionV>
            <wp:extent cx="2374265" cy="2476695"/>
            <wp:effectExtent l="0" t="0" r="6985" b="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FD6B35">
        <w:rPr>
          <w:b/>
          <w:bCs/>
          <w:color w:val="3B3838" w:themeColor="background2" w:themeShade="40"/>
          <w:sz w:val="24"/>
          <w:szCs w:val="24"/>
          <w:u w:val="single"/>
        </w:rPr>
        <w:t>Investment Thesis</w:t>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r w:rsidR="00C66FF0">
        <w:rPr>
          <w:b/>
          <w:color w:val="3B3838" w:themeColor="background2" w:themeShade="40"/>
          <w:sz w:val="24"/>
          <w:szCs w:val="24"/>
          <w:u w:val="single"/>
        </w:rPr>
        <w:tab/>
      </w:r>
    </w:p>
    <w:p w14:paraId="09D1F61F" w14:textId="3401AB53" w:rsidR="14FBD679" w:rsidRPr="00A50DE9" w:rsidRDefault="14FBD679" w:rsidP="00A50DE9">
      <w:pPr>
        <w:ind w:left="3600"/>
        <w:jc w:val="both"/>
      </w:pPr>
      <w:r w:rsidRPr="00A50DE9">
        <w:t xml:space="preserve">Constellation Brands has seen an increase in </w:t>
      </w:r>
      <w:proofErr w:type="gramStart"/>
      <w:r w:rsidRPr="00A50DE9">
        <w:t>all of</w:t>
      </w:r>
      <w:proofErr w:type="gramEnd"/>
      <w:r w:rsidRPr="00A50DE9">
        <w:t xml:space="preserve"> their key metrics – revenue, EPS, </w:t>
      </w:r>
      <w:r w:rsidR="002C7C14">
        <w:t xml:space="preserve">profit margin </w:t>
      </w:r>
      <w:r w:rsidRPr="00A50DE9">
        <w:t>- when compared to the industry and industry leaders. However, a negative reoccurring metric that impacts the company is a decrease in demand during their third and fourth quarters. However, this usually does not affect their stock price because it is known throughout the industry about cyclical American trends.</w:t>
      </w:r>
    </w:p>
    <w:p w14:paraId="57494BF5" w14:textId="7C5B2C86" w:rsidR="14FBD679" w:rsidRPr="00A50DE9" w:rsidRDefault="14FBD679" w:rsidP="00A50DE9">
      <w:pPr>
        <w:ind w:left="3600"/>
        <w:jc w:val="both"/>
      </w:pPr>
      <w:r w:rsidRPr="00A50DE9">
        <w:t xml:space="preserve">During recent years key consumers have been moving towards craft beer, this shows the increase in revenues and the phenomenal performance of some of their specialty beers like Corona Premiere which was debuted last year and acquired a return of 12%. </w:t>
      </w:r>
      <w:r w:rsidR="00BF1236" w:rsidRPr="00A50DE9">
        <w:t>They have seen positive outlooks from their current products in test markets</w:t>
      </w:r>
      <w:r w:rsidR="00DE1EDF" w:rsidRPr="00A50DE9">
        <w:t xml:space="preserve"> and could see continuous revenues. </w:t>
      </w:r>
    </w:p>
    <w:p w14:paraId="5B04F777" w14:textId="02568CC4" w:rsidR="009258EB" w:rsidRPr="004A5A51" w:rsidRDefault="00A33AC1" w:rsidP="00D40E9E">
      <w:pPr>
        <w:ind w:left="3600"/>
        <w:jc w:val="both"/>
      </w:pPr>
      <w:r>
        <w:rPr>
          <w:noProof/>
          <w:lang w:val="en-US"/>
        </w:rPr>
        <mc:AlternateContent>
          <mc:Choice Requires="wps">
            <w:drawing>
              <wp:anchor distT="0" distB="0" distL="114300" distR="114300" simplePos="0" relativeHeight="251681792" behindDoc="0" locked="0" layoutInCell="1" allowOverlap="1" wp14:anchorId="7722C5A3" wp14:editId="67D5B619">
                <wp:simplePos x="0" y="0"/>
                <wp:positionH relativeFrom="column">
                  <wp:posOffset>-218440</wp:posOffset>
                </wp:positionH>
                <wp:positionV relativeFrom="paragraph">
                  <wp:posOffset>236855</wp:posOffset>
                </wp:positionV>
                <wp:extent cx="2377440" cy="800735"/>
                <wp:effectExtent l="0" t="0" r="0" b="12065"/>
                <wp:wrapTight wrapText="bothSides">
                  <wp:wrapPolygon edited="0">
                    <wp:start x="231" y="0"/>
                    <wp:lineTo x="231" y="21240"/>
                    <wp:lineTo x="21000" y="21240"/>
                    <wp:lineTo x="21000" y="0"/>
                    <wp:lineTo x="231" y="0"/>
                  </wp:wrapPolygon>
                </wp:wrapTight>
                <wp:docPr id="14" name="Text Box 14"/>
                <wp:cNvGraphicFramePr/>
                <a:graphic xmlns:a="http://schemas.openxmlformats.org/drawingml/2006/main">
                  <a:graphicData uri="http://schemas.microsoft.com/office/word/2010/wordprocessingShape">
                    <wps:wsp>
                      <wps:cNvSpPr txBox="1"/>
                      <wps:spPr>
                        <a:xfrm>
                          <a:off x="0" y="0"/>
                          <a:ext cx="2377440" cy="80073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369ED9A" w14:textId="77777777" w:rsidR="00A33AC1" w:rsidRDefault="00A33AC1" w:rsidP="00A33AC1">
                            <w:pPr>
                              <w:rPr>
                                <w:i/>
                                <w:sz w:val="16"/>
                              </w:rPr>
                            </w:pPr>
                            <w:r>
                              <w:rPr>
                                <w:i/>
                                <w:sz w:val="16"/>
                              </w:rPr>
                              <w:t>Source: FactSet</w:t>
                            </w:r>
                          </w:p>
                          <w:p w14:paraId="39CDF376" w14:textId="2D01C19F" w:rsidR="00A33AC1" w:rsidRDefault="00A33AC1" w:rsidP="00A33AC1">
                            <w:pPr>
                              <w:rPr>
                                <w:i/>
                                <w:sz w:val="16"/>
                              </w:rPr>
                            </w:pPr>
                            <w:r>
                              <w:rPr>
                                <w:i/>
                                <w:sz w:val="16"/>
                              </w:rPr>
                              <w:t xml:space="preserve">Constellation Brands Inc. sees fluctuations in revenue during the third and fourth quarter due to decrease of advertisement and the seasonality of their summer beers. </w:t>
                            </w:r>
                          </w:p>
                          <w:p w14:paraId="41CD1133" w14:textId="77777777" w:rsidR="00A33AC1" w:rsidRPr="00201C78" w:rsidRDefault="00A33AC1" w:rsidP="00A33AC1">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2C5A3" id="Text Box 14" o:spid="_x0000_s1028" type="#_x0000_t202" style="position:absolute;left:0;text-align:left;margin-left:-17.2pt;margin-top:18.65pt;width:187.2pt;height:6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" filled="f" stroked="f">
                <v:textbox>
                  <w:txbxContent>
                    <w:p w14:paraId="7369ED9A" w14:textId="77777777" w:rsidR="00A33AC1" w:rsidRDefault="00A33AC1" w:rsidP="00A33AC1">
                      <w:pPr>
                        <w:rPr>
                          <w:i/>
                          <w:sz w:val="16"/>
                        </w:rPr>
                      </w:pPr>
                      <w:r>
                        <w:rPr>
                          <w:i/>
                          <w:sz w:val="16"/>
                        </w:rPr>
                        <w:t>Source: FactSet</w:t>
                      </w:r>
                    </w:p>
                    <w:p w14:paraId="39CDF376" w14:textId="2D01C19F" w:rsidR="00A33AC1" w:rsidRDefault="00A33AC1" w:rsidP="00A33AC1">
                      <w:pPr>
                        <w:rPr>
                          <w:i/>
                          <w:sz w:val="16"/>
                        </w:rPr>
                      </w:pPr>
                      <w:r>
                        <w:rPr>
                          <w:i/>
                          <w:sz w:val="16"/>
                        </w:rPr>
                        <w:t xml:space="preserve">Constellation Brands Inc. sees fluctuations in revenue during the third and fourth quarter due to decrease of advertisement and the seasonality of their summer beers. </w:t>
                      </w:r>
                    </w:p>
                    <w:p w14:paraId="41CD1133" w14:textId="77777777" w:rsidR="00A33AC1" w:rsidRPr="00201C78" w:rsidRDefault="00A33AC1" w:rsidP="00A33AC1">
                      <w:pPr>
                        <w:rPr>
                          <w:i/>
                          <w:sz w:val="16"/>
                        </w:rPr>
                      </w:pPr>
                    </w:p>
                  </w:txbxContent>
                </v:textbox>
                <w10:wrap type="tight"/>
              </v:shape>
            </w:pict>
          </mc:Fallback>
        </mc:AlternateContent>
      </w:r>
      <w:r w:rsidR="14FBD679" w:rsidRPr="00A50DE9">
        <w:t>Investments have been proven to drive in recent years not only the growth of Constellation Brands, but also their stock price. Constellation Brands is heavily invested in Canopy Growth Corp. which has achieved a growth of over 3,100% over the last 5 years</w:t>
      </w:r>
      <w:r w:rsidR="00DE1EDF" w:rsidRPr="00A50DE9">
        <w:t>.</w:t>
      </w:r>
      <w:r w:rsidR="00A50DE9" w:rsidRPr="00A50DE9">
        <w:t xml:space="preserve"> Canopy could see an increase of 900% of revenues from 2019 to 2023</w:t>
      </w:r>
      <w:r w:rsidR="000326E6">
        <w:t xml:space="preserve"> based on analyst estimates</w:t>
      </w:r>
      <w:r w:rsidR="00A50DE9" w:rsidRPr="00A50DE9">
        <w:t xml:space="preserve">. </w:t>
      </w:r>
    </w:p>
    <w:p w14:paraId="6026DA5E" w14:textId="275CE864" w:rsidR="004563D4" w:rsidRDefault="00FD6B35" w:rsidP="4A47D8C0">
      <w:pPr>
        <w:ind w:left="3600"/>
        <w:contextualSpacing w:val="0"/>
        <w:rPr>
          <w:b/>
          <w:bCs/>
          <w:color w:val="3B3838" w:themeColor="background2" w:themeShade="40"/>
          <w:sz w:val="24"/>
          <w:szCs w:val="24"/>
          <w:u w:val="single"/>
        </w:rPr>
      </w:pPr>
      <w:r>
        <w:rPr>
          <w:b/>
          <w:bCs/>
          <w:color w:val="3B3838" w:themeColor="background2" w:themeShade="40"/>
          <w:sz w:val="24"/>
          <w:szCs w:val="24"/>
          <w:u w:val="single"/>
        </w:rPr>
        <w:t>Valuation</w:t>
      </w:r>
      <w:r w:rsidR="00C66FF0">
        <w:rPr>
          <w:b/>
          <w:bCs/>
          <w:color w:val="3B3838" w:themeColor="background2" w:themeShade="40"/>
          <w:sz w:val="24"/>
          <w:szCs w:val="24"/>
          <w:u w:val="single"/>
        </w:rPr>
        <w:tab/>
      </w:r>
      <w:r w:rsidR="00C66FF0">
        <w:rPr>
          <w:b/>
          <w:bCs/>
          <w:color w:val="3B3838" w:themeColor="background2" w:themeShade="40"/>
          <w:sz w:val="24"/>
          <w:szCs w:val="24"/>
          <w:u w:val="single"/>
        </w:rPr>
        <w:tab/>
      </w:r>
      <w:r w:rsidR="00C66FF0">
        <w:rPr>
          <w:b/>
          <w:bCs/>
          <w:color w:val="3B3838" w:themeColor="background2" w:themeShade="40"/>
          <w:sz w:val="24"/>
          <w:szCs w:val="24"/>
          <w:u w:val="single"/>
        </w:rPr>
        <w:tab/>
      </w:r>
      <w:r w:rsidR="00C66FF0">
        <w:rPr>
          <w:b/>
          <w:bCs/>
          <w:color w:val="3B3838" w:themeColor="background2" w:themeShade="40"/>
          <w:sz w:val="24"/>
          <w:szCs w:val="24"/>
          <w:u w:val="single"/>
        </w:rPr>
        <w:tab/>
      </w:r>
      <w:r w:rsidR="00C66FF0">
        <w:rPr>
          <w:b/>
          <w:bCs/>
          <w:color w:val="3B3838" w:themeColor="background2" w:themeShade="40"/>
          <w:sz w:val="24"/>
          <w:szCs w:val="24"/>
          <w:u w:val="single"/>
        </w:rPr>
        <w:tab/>
      </w:r>
      <w:r w:rsidR="00C66FF0">
        <w:rPr>
          <w:b/>
          <w:bCs/>
          <w:color w:val="3B3838" w:themeColor="background2" w:themeShade="40"/>
          <w:sz w:val="24"/>
          <w:szCs w:val="24"/>
          <w:u w:val="single"/>
        </w:rPr>
        <w:tab/>
      </w:r>
      <w:r w:rsidR="00C66FF0">
        <w:rPr>
          <w:b/>
          <w:bCs/>
          <w:color w:val="3B3838" w:themeColor="background2" w:themeShade="40"/>
          <w:sz w:val="24"/>
          <w:szCs w:val="24"/>
          <w:u w:val="single"/>
        </w:rPr>
        <w:tab/>
      </w:r>
      <w:r w:rsidR="00C66FF0">
        <w:rPr>
          <w:b/>
          <w:bCs/>
          <w:color w:val="3B3838" w:themeColor="background2" w:themeShade="40"/>
          <w:sz w:val="24"/>
          <w:szCs w:val="24"/>
          <w:u w:val="single"/>
        </w:rPr>
        <w:tab/>
      </w:r>
    </w:p>
    <w:tbl>
      <w:tblPr>
        <w:tblpPr w:leftFromText="180" w:rightFromText="180" w:vertAnchor="text" w:horzAnchor="page" w:tblpX="600" w:tblpY="224"/>
        <w:tblOverlap w:val="never"/>
        <w:tblW w:w="3435" w:type="dxa"/>
        <w:tblLook w:val="04A0" w:firstRow="1" w:lastRow="0" w:firstColumn="1" w:lastColumn="0" w:noHBand="0" w:noVBand="1"/>
      </w:tblPr>
      <w:tblGrid>
        <w:gridCol w:w="2080"/>
        <w:gridCol w:w="1355"/>
      </w:tblGrid>
      <w:tr w:rsidR="003C41B0" w:rsidRPr="000125A6" w14:paraId="007D0C0F" w14:textId="77777777" w:rsidTr="003C41B0">
        <w:trPr>
          <w:trHeight w:val="320"/>
        </w:trPr>
        <w:tc>
          <w:tcPr>
            <w:tcW w:w="3435" w:type="dxa"/>
            <w:gridSpan w:val="2"/>
            <w:tcBorders>
              <w:top w:val="nil"/>
              <w:left w:val="nil"/>
              <w:bottom w:val="nil"/>
              <w:right w:val="nil"/>
            </w:tcBorders>
            <w:shd w:val="clear" w:color="000000" w:fill="305496"/>
            <w:noWrap/>
            <w:vAlign w:val="bottom"/>
            <w:hideMark/>
          </w:tcPr>
          <w:p w14:paraId="30030FAC" w14:textId="77777777" w:rsidR="003C41B0" w:rsidRPr="000125A6" w:rsidRDefault="003C41B0" w:rsidP="003C41B0">
            <w:pPr>
              <w:spacing w:line="240" w:lineRule="auto"/>
              <w:contextualSpacing w:val="0"/>
              <w:jc w:val="center"/>
              <w:rPr>
                <w:rFonts w:ascii="Calibri" w:eastAsia="Times New Roman" w:hAnsi="Calibri" w:cs="Times New Roman"/>
                <w:color w:val="FFFFFF"/>
                <w:sz w:val="24"/>
                <w:szCs w:val="24"/>
                <w:lang w:val="en-US"/>
              </w:rPr>
            </w:pPr>
            <w:r w:rsidRPr="000125A6">
              <w:rPr>
                <w:rFonts w:ascii="Calibri" w:eastAsia="Times New Roman" w:hAnsi="Calibri" w:cs="Times New Roman"/>
                <w:color w:val="FFFFFF"/>
                <w:sz w:val="24"/>
                <w:szCs w:val="24"/>
                <w:lang w:val="en-US"/>
              </w:rPr>
              <w:t>Valuation Results</w:t>
            </w:r>
          </w:p>
        </w:tc>
      </w:tr>
      <w:tr w:rsidR="003C41B0" w:rsidRPr="000125A6" w14:paraId="21361C05" w14:textId="77777777" w:rsidTr="003C41B0">
        <w:trPr>
          <w:trHeight w:val="320"/>
        </w:trPr>
        <w:tc>
          <w:tcPr>
            <w:tcW w:w="2080" w:type="dxa"/>
            <w:tcBorders>
              <w:top w:val="nil"/>
              <w:left w:val="nil"/>
              <w:bottom w:val="single" w:sz="4" w:space="0" w:color="FFFFFF"/>
              <w:right w:val="single" w:sz="4" w:space="0" w:color="FFFFFF"/>
            </w:tcBorders>
            <w:shd w:val="clear" w:color="BDD7EE" w:fill="BDD7EE"/>
            <w:noWrap/>
            <w:vAlign w:val="bottom"/>
            <w:hideMark/>
          </w:tcPr>
          <w:p w14:paraId="5844555E" w14:textId="77777777" w:rsidR="003C41B0" w:rsidRPr="000125A6" w:rsidRDefault="003C41B0" w:rsidP="003C41B0">
            <w:pPr>
              <w:spacing w:line="240" w:lineRule="auto"/>
              <w:contextualSpacing w:val="0"/>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DCF Result:</w:t>
            </w:r>
          </w:p>
        </w:tc>
        <w:tc>
          <w:tcPr>
            <w:tcW w:w="1355" w:type="dxa"/>
            <w:tcBorders>
              <w:top w:val="nil"/>
              <w:left w:val="single" w:sz="4" w:space="0" w:color="FFFFFF"/>
              <w:bottom w:val="single" w:sz="4" w:space="0" w:color="FFFFFF"/>
              <w:right w:val="nil"/>
            </w:tcBorders>
            <w:shd w:val="clear" w:color="BDD7EE" w:fill="BDD7EE"/>
            <w:noWrap/>
            <w:vAlign w:val="bottom"/>
            <w:hideMark/>
          </w:tcPr>
          <w:p w14:paraId="508BE0A6" w14:textId="77777777"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 xml:space="preserve">$244.23 </w:t>
            </w:r>
          </w:p>
        </w:tc>
      </w:tr>
      <w:tr w:rsidR="003C41B0" w:rsidRPr="000125A6" w14:paraId="5B9B7B64" w14:textId="77777777" w:rsidTr="003C41B0">
        <w:trPr>
          <w:trHeight w:val="320"/>
        </w:trPr>
        <w:tc>
          <w:tcPr>
            <w:tcW w:w="2080" w:type="dxa"/>
            <w:tcBorders>
              <w:top w:val="single" w:sz="4" w:space="0" w:color="FFFFFF"/>
              <w:left w:val="nil"/>
              <w:bottom w:val="single" w:sz="4" w:space="0" w:color="FFFFFF"/>
              <w:right w:val="single" w:sz="4" w:space="0" w:color="FFFFFF"/>
            </w:tcBorders>
            <w:shd w:val="clear" w:color="DDEBF7" w:fill="DDEBF7"/>
            <w:noWrap/>
            <w:vAlign w:val="bottom"/>
            <w:hideMark/>
          </w:tcPr>
          <w:p w14:paraId="33DDABE2" w14:textId="77777777" w:rsidR="003C41B0" w:rsidRPr="000125A6" w:rsidRDefault="003C41B0" w:rsidP="003C41B0">
            <w:pPr>
              <w:spacing w:line="240" w:lineRule="auto"/>
              <w:contextualSpacing w:val="0"/>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P/E Result:</w:t>
            </w:r>
          </w:p>
        </w:tc>
        <w:tc>
          <w:tcPr>
            <w:tcW w:w="1355" w:type="dxa"/>
            <w:tcBorders>
              <w:top w:val="single" w:sz="4" w:space="0" w:color="FFFFFF"/>
              <w:left w:val="single" w:sz="4" w:space="0" w:color="FFFFFF"/>
              <w:bottom w:val="single" w:sz="4" w:space="0" w:color="FFFFFF"/>
              <w:right w:val="nil"/>
            </w:tcBorders>
            <w:shd w:val="clear" w:color="DDEBF7" w:fill="DDEBF7"/>
            <w:noWrap/>
            <w:vAlign w:val="bottom"/>
            <w:hideMark/>
          </w:tcPr>
          <w:p w14:paraId="5A17BC31" w14:textId="77777777"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 xml:space="preserve">$268.08 </w:t>
            </w:r>
          </w:p>
        </w:tc>
      </w:tr>
      <w:tr w:rsidR="003C41B0" w:rsidRPr="000125A6" w14:paraId="759969CB" w14:textId="77777777" w:rsidTr="003C41B0">
        <w:trPr>
          <w:trHeight w:val="320"/>
        </w:trPr>
        <w:tc>
          <w:tcPr>
            <w:tcW w:w="2080" w:type="dxa"/>
            <w:tcBorders>
              <w:top w:val="single" w:sz="4" w:space="0" w:color="FFFFFF"/>
              <w:left w:val="nil"/>
              <w:bottom w:val="single" w:sz="4" w:space="0" w:color="FFFFFF"/>
              <w:right w:val="single" w:sz="4" w:space="0" w:color="FFFFFF"/>
            </w:tcBorders>
            <w:shd w:val="clear" w:color="BDD7EE" w:fill="BDD7EE"/>
            <w:noWrap/>
            <w:vAlign w:val="bottom"/>
            <w:hideMark/>
          </w:tcPr>
          <w:p w14:paraId="76D99220" w14:textId="77777777" w:rsidR="003C41B0" w:rsidRPr="000125A6" w:rsidRDefault="003C41B0" w:rsidP="003C41B0">
            <w:pPr>
              <w:spacing w:line="240" w:lineRule="auto"/>
              <w:contextualSpacing w:val="0"/>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Current Price:</w:t>
            </w:r>
          </w:p>
        </w:tc>
        <w:tc>
          <w:tcPr>
            <w:tcW w:w="1355" w:type="dxa"/>
            <w:tcBorders>
              <w:top w:val="single" w:sz="4" w:space="0" w:color="FFFFFF"/>
              <w:left w:val="single" w:sz="4" w:space="0" w:color="FFFFFF"/>
              <w:bottom w:val="single" w:sz="4" w:space="0" w:color="FFFFFF"/>
              <w:right w:val="nil"/>
            </w:tcBorders>
            <w:shd w:val="clear" w:color="BDD7EE" w:fill="BDD7EE"/>
            <w:noWrap/>
            <w:vAlign w:val="bottom"/>
            <w:hideMark/>
          </w:tcPr>
          <w:p w14:paraId="13C7DDEC" w14:textId="77777777"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 xml:space="preserve">$222.93 </w:t>
            </w:r>
          </w:p>
        </w:tc>
      </w:tr>
      <w:tr w:rsidR="003C41B0" w:rsidRPr="000125A6" w14:paraId="012F1893" w14:textId="77777777" w:rsidTr="003C41B0">
        <w:trPr>
          <w:trHeight w:val="320"/>
        </w:trPr>
        <w:tc>
          <w:tcPr>
            <w:tcW w:w="2080" w:type="dxa"/>
            <w:tcBorders>
              <w:top w:val="single" w:sz="4" w:space="0" w:color="FFFFFF"/>
              <w:left w:val="nil"/>
              <w:bottom w:val="single" w:sz="4" w:space="0" w:color="FFFFFF"/>
              <w:right w:val="single" w:sz="4" w:space="0" w:color="FFFFFF"/>
            </w:tcBorders>
            <w:shd w:val="clear" w:color="DDEBF7" w:fill="DDEBF7"/>
            <w:noWrap/>
            <w:vAlign w:val="bottom"/>
            <w:hideMark/>
          </w:tcPr>
          <w:p w14:paraId="197C8064" w14:textId="01DC5965" w:rsidR="003C41B0" w:rsidRPr="000125A6" w:rsidRDefault="00CF4F06" w:rsidP="003C41B0">
            <w:pPr>
              <w:spacing w:line="240" w:lineRule="auto"/>
              <w:contextualSpacing w:val="0"/>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Low</w:t>
            </w:r>
            <w:r w:rsidR="003C41B0" w:rsidRPr="000125A6">
              <w:rPr>
                <w:rFonts w:ascii="Calibri" w:eastAsia="Times New Roman" w:hAnsi="Calibri" w:cs="Times New Roman"/>
                <w:color w:val="000000"/>
                <w:sz w:val="24"/>
                <w:szCs w:val="24"/>
                <w:lang w:val="en-US"/>
              </w:rPr>
              <w:t xml:space="preserve"> End:</w:t>
            </w:r>
          </w:p>
        </w:tc>
        <w:tc>
          <w:tcPr>
            <w:tcW w:w="1355" w:type="dxa"/>
            <w:tcBorders>
              <w:top w:val="single" w:sz="4" w:space="0" w:color="FFFFFF"/>
              <w:left w:val="single" w:sz="4" w:space="0" w:color="FFFFFF"/>
              <w:bottom w:val="single" w:sz="4" w:space="0" w:color="FFFFFF"/>
              <w:right w:val="nil"/>
            </w:tcBorders>
            <w:shd w:val="clear" w:color="DDEBF7" w:fill="DDEBF7"/>
            <w:noWrap/>
            <w:vAlign w:val="bottom"/>
            <w:hideMark/>
          </w:tcPr>
          <w:p w14:paraId="585648AE" w14:textId="77777777"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 xml:space="preserve">$258.54 </w:t>
            </w:r>
          </w:p>
        </w:tc>
      </w:tr>
      <w:tr w:rsidR="003C41B0" w:rsidRPr="000125A6" w14:paraId="354491E3" w14:textId="77777777" w:rsidTr="003C41B0">
        <w:trPr>
          <w:trHeight w:val="320"/>
        </w:trPr>
        <w:tc>
          <w:tcPr>
            <w:tcW w:w="2080" w:type="dxa"/>
            <w:tcBorders>
              <w:top w:val="single" w:sz="4" w:space="0" w:color="FFFFFF"/>
              <w:left w:val="nil"/>
              <w:bottom w:val="single" w:sz="4" w:space="0" w:color="FFFFFF"/>
              <w:right w:val="single" w:sz="4" w:space="0" w:color="FFFFFF"/>
            </w:tcBorders>
            <w:shd w:val="clear" w:color="BDD7EE" w:fill="BDD7EE"/>
            <w:noWrap/>
            <w:vAlign w:val="bottom"/>
            <w:hideMark/>
          </w:tcPr>
          <w:p w14:paraId="06CE7F52" w14:textId="29E9B4F5" w:rsidR="003C41B0" w:rsidRPr="000125A6" w:rsidRDefault="00CF4F06" w:rsidP="003C41B0">
            <w:pPr>
              <w:spacing w:line="240" w:lineRule="auto"/>
              <w:contextualSpacing w:val="0"/>
              <w:rPr>
                <w:rFonts w:ascii="Calibri" w:eastAsia="Times New Roman" w:hAnsi="Calibri" w:cs="Times New Roman"/>
                <w:color w:val="000000"/>
                <w:sz w:val="24"/>
                <w:szCs w:val="24"/>
                <w:lang w:val="en-US"/>
              </w:rPr>
            </w:pPr>
            <w:r>
              <w:rPr>
                <w:rFonts w:ascii="Calibri" w:eastAsia="Times New Roman" w:hAnsi="Calibri" w:cs="Times New Roman"/>
                <w:color w:val="000000"/>
                <w:sz w:val="24"/>
                <w:szCs w:val="24"/>
                <w:lang w:val="en-US"/>
              </w:rPr>
              <w:t>High</w:t>
            </w:r>
            <w:r w:rsidR="003C41B0" w:rsidRPr="000125A6">
              <w:rPr>
                <w:rFonts w:ascii="Calibri" w:eastAsia="Times New Roman" w:hAnsi="Calibri" w:cs="Times New Roman"/>
                <w:color w:val="000000"/>
                <w:sz w:val="24"/>
                <w:szCs w:val="24"/>
                <w:lang w:val="en-US"/>
              </w:rPr>
              <w:t xml:space="preserve"> End:</w:t>
            </w:r>
          </w:p>
        </w:tc>
        <w:tc>
          <w:tcPr>
            <w:tcW w:w="1355" w:type="dxa"/>
            <w:tcBorders>
              <w:top w:val="single" w:sz="4" w:space="0" w:color="FFFFFF"/>
              <w:left w:val="single" w:sz="4" w:space="0" w:color="FFFFFF"/>
              <w:bottom w:val="single" w:sz="4" w:space="0" w:color="FFFFFF"/>
              <w:right w:val="nil"/>
            </w:tcBorders>
            <w:shd w:val="clear" w:color="BDD7EE" w:fill="BDD7EE"/>
            <w:noWrap/>
            <w:vAlign w:val="bottom"/>
            <w:hideMark/>
          </w:tcPr>
          <w:p w14:paraId="3AF71DF2" w14:textId="77777777"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 xml:space="preserve">$279.19 </w:t>
            </w:r>
          </w:p>
        </w:tc>
      </w:tr>
      <w:tr w:rsidR="003C41B0" w:rsidRPr="000125A6" w14:paraId="607C39D8" w14:textId="77777777" w:rsidTr="003C41B0">
        <w:trPr>
          <w:trHeight w:val="320"/>
        </w:trPr>
        <w:tc>
          <w:tcPr>
            <w:tcW w:w="2080" w:type="dxa"/>
            <w:tcBorders>
              <w:top w:val="single" w:sz="4" w:space="0" w:color="FFFFFF"/>
              <w:left w:val="nil"/>
              <w:bottom w:val="single" w:sz="4" w:space="0" w:color="FFFFFF"/>
              <w:right w:val="single" w:sz="4" w:space="0" w:color="FFFFFF"/>
            </w:tcBorders>
            <w:shd w:val="clear" w:color="DDEBF7" w:fill="DDEBF7"/>
            <w:noWrap/>
            <w:vAlign w:val="bottom"/>
            <w:hideMark/>
          </w:tcPr>
          <w:p w14:paraId="229D7FD8" w14:textId="77777777" w:rsidR="003C41B0" w:rsidRPr="000125A6" w:rsidRDefault="003C41B0" w:rsidP="003C41B0">
            <w:pPr>
              <w:spacing w:line="240" w:lineRule="auto"/>
              <w:contextualSpacing w:val="0"/>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Recommendation:</w:t>
            </w:r>
          </w:p>
        </w:tc>
        <w:tc>
          <w:tcPr>
            <w:tcW w:w="1355" w:type="dxa"/>
            <w:tcBorders>
              <w:top w:val="single" w:sz="4" w:space="0" w:color="FFFFFF"/>
              <w:left w:val="single" w:sz="4" w:space="0" w:color="FFFFFF"/>
              <w:bottom w:val="single" w:sz="4" w:space="0" w:color="FFFFFF"/>
              <w:right w:val="nil"/>
            </w:tcBorders>
            <w:shd w:val="clear" w:color="DDEBF7" w:fill="DDEBF7"/>
            <w:noWrap/>
            <w:vAlign w:val="bottom"/>
            <w:hideMark/>
          </w:tcPr>
          <w:p w14:paraId="0F3E34CC" w14:textId="77777777"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BUY</w:t>
            </w:r>
          </w:p>
        </w:tc>
      </w:tr>
      <w:tr w:rsidR="003C41B0" w:rsidRPr="000125A6" w14:paraId="53693787" w14:textId="77777777" w:rsidTr="003C41B0">
        <w:trPr>
          <w:trHeight w:val="541"/>
        </w:trPr>
        <w:tc>
          <w:tcPr>
            <w:tcW w:w="2080" w:type="dxa"/>
            <w:tcBorders>
              <w:top w:val="single" w:sz="4" w:space="0" w:color="FFFFFF"/>
              <w:left w:val="nil"/>
              <w:bottom w:val="nil"/>
              <w:right w:val="single" w:sz="4" w:space="0" w:color="FFFFFF"/>
            </w:tcBorders>
            <w:shd w:val="clear" w:color="BDD7EE" w:fill="BDD7EE"/>
            <w:noWrap/>
            <w:vAlign w:val="bottom"/>
            <w:hideMark/>
          </w:tcPr>
          <w:p w14:paraId="18C3F51A" w14:textId="5D74315D" w:rsidR="003C41B0" w:rsidRPr="000125A6" w:rsidRDefault="003C41B0" w:rsidP="003C41B0">
            <w:pPr>
              <w:spacing w:line="240" w:lineRule="auto"/>
              <w:contextualSpacing w:val="0"/>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Upside:</w:t>
            </w:r>
          </w:p>
        </w:tc>
        <w:tc>
          <w:tcPr>
            <w:tcW w:w="1355" w:type="dxa"/>
            <w:tcBorders>
              <w:top w:val="single" w:sz="4" w:space="0" w:color="FFFFFF"/>
              <w:left w:val="single" w:sz="4" w:space="0" w:color="FFFFFF"/>
              <w:bottom w:val="nil"/>
              <w:right w:val="nil"/>
            </w:tcBorders>
            <w:shd w:val="clear" w:color="BDD7EE" w:fill="BDD7EE"/>
            <w:noWrap/>
            <w:vAlign w:val="bottom"/>
            <w:hideMark/>
          </w:tcPr>
          <w:p w14:paraId="309EB3EC" w14:textId="59F68DFB" w:rsidR="003C41B0" w:rsidRPr="000125A6" w:rsidRDefault="003C41B0" w:rsidP="003C41B0">
            <w:pPr>
              <w:spacing w:line="240" w:lineRule="auto"/>
              <w:contextualSpacing w:val="0"/>
              <w:jc w:val="center"/>
              <w:rPr>
                <w:rFonts w:ascii="Calibri" w:eastAsia="Times New Roman" w:hAnsi="Calibri" w:cs="Times New Roman"/>
                <w:color w:val="000000"/>
                <w:sz w:val="24"/>
                <w:szCs w:val="24"/>
                <w:lang w:val="en-US"/>
              </w:rPr>
            </w:pPr>
            <w:r w:rsidRPr="000125A6">
              <w:rPr>
                <w:rFonts w:ascii="Calibri" w:eastAsia="Times New Roman" w:hAnsi="Calibri" w:cs="Times New Roman"/>
                <w:color w:val="000000"/>
                <w:sz w:val="24"/>
                <w:szCs w:val="24"/>
                <w:lang w:val="en-US"/>
              </w:rPr>
              <w:t>16.0%-25.2%</w:t>
            </w:r>
          </w:p>
        </w:tc>
      </w:tr>
    </w:tbl>
    <w:p w14:paraId="76196C22" w14:textId="308DA5A9" w:rsidR="000125A6" w:rsidRDefault="00B81D97" w:rsidP="00D40E9E">
      <w:pPr>
        <w:ind w:left="3600"/>
      </w:pPr>
      <w:r>
        <w:t>To value Constellation Brands, we</w:t>
      </w:r>
      <w:r w:rsidR="00D7405C">
        <w:t xml:space="preserve"> </w:t>
      </w:r>
      <w:r>
        <w:t xml:space="preserve">used a relative valuation and a valuation comparing it to its notable pears. </w:t>
      </w:r>
      <w:r w:rsidR="00A468B5">
        <w:t>Using a discount factor, WACC, of 8% and a perpetuity growth rate of 4%</w:t>
      </w:r>
      <w:r w:rsidR="00AB341C">
        <w:t>,</w:t>
      </w:r>
      <w:r w:rsidR="00A468B5">
        <w:t xml:space="preserve"> which is relatively consistent with the growth rate of GDP</w:t>
      </w:r>
      <w:r w:rsidR="00AB341C">
        <w:t>, we calcu</w:t>
      </w:r>
      <w:r w:rsidR="00F97A5C">
        <w:t>lated a range of $244.23 to $295.85</w:t>
      </w:r>
      <w:r w:rsidR="00AB341C">
        <w:t>. This is the best case and worst case for projected revenue over the next 5 years. Secondly, we compared four of Constellation Brands closest competitors and determined a relative P/E ratio of 16.05,</w:t>
      </w:r>
      <w:r w:rsidR="00992F91">
        <w:t xml:space="preserve"> </w:t>
      </w:r>
      <w:r w:rsidR="00BA3772">
        <w:t>a</w:t>
      </w:r>
    </w:p>
    <w:p w14:paraId="618683BE" w14:textId="550EC762" w:rsidR="003C071E" w:rsidRPr="00D40E9E" w:rsidRDefault="00BA3772" w:rsidP="00D40E9E">
      <w:pPr>
        <w:ind w:left="3600"/>
      </w:pPr>
      <w:r>
        <w:t>-</w:t>
      </w:r>
      <w:r w:rsidR="00992F91">
        <w:t>20.2%</w:t>
      </w:r>
      <w:r w:rsidR="00D7405C">
        <w:t xml:space="preserve"> </w:t>
      </w:r>
      <w:r w:rsidR="00992F91">
        <w:t>compared to their current P/E ratio</w:t>
      </w:r>
      <w:r w:rsidR="00AE78F6">
        <w:t xml:space="preserve"> of 13.35</w:t>
      </w:r>
      <w:r w:rsidR="00AB341C">
        <w:t xml:space="preserve">. And using the EPS of </w:t>
      </w:r>
      <w:r w:rsidR="0072395F">
        <w:t xml:space="preserve">$16.70, we derived a value of $268.08. And using a weight of 60%/40%, P/E </w:t>
      </w:r>
      <w:r w:rsidR="0033087B">
        <w:t>Ratio</w:t>
      </w:r>
      <w:r w:rsidR="00211D88">
        <w:t xml:space="preserve"> to 5year DCF, we came up with a range of $258.</w:t>
      </w:r>
      <w:r w:rsidR="0033087B">
        <w:t xml:space="preserve">54 to $279.19. </w:t>
      </w:r>
    </w:p>
    <w:p w14:paraId="2C7DB99B" w14:textId="67E809BF" w:rsidR="003C071E" w:rsidRDefault="00A33AC1" w:rsidP="003C071E">
      <w:pPr>
        <w:ind w:left="3600"/>
        <w:rPr>
          <w:b/>
          <w:bCs/>
          <w:color w:val="3B3838" w:themeColor="background2" w:themeShade="40"/>
          <w:sz w:val="24"/>
          <w:szCs w:val="24"/>
          <w:u w:val="single"/>
        </w:rPr>
      </w:pPr>
      <w:r>
        <w:rPr>
          <w:noProof/>
          <w:lang w:val="en-US"/>
        </w:rPr>
        <mc:AlternateContent>
          <mc:Choice Requires="wps">
            <w:drawing>
              <wp:anchor distT="0" distB="0" distL="114300" distR="114300" simplePos="0" relativeHeight="251683840" behindDoc="0" locked="0" layoutInCell="1" allowOverlap="1" wp14:anchorId="48AA2F02" wp14:editId="41AA86C9">
                <wp:simplePos x="0" y="0"/>
                <wp:positionH relativeFrom="column">
                  <wp:posOffset>-153035</wp:posOffset>
                </wp:positionH>
                <wp:positionV relativeFrom="paragraph">
                  <wp:posOffset>233045</wp:posOffset>
                </wp:positionV>
                <wp:extent cx="1747520" cy="199390"/>
                <wp:effectExtent l="0" t="0" r="0" b="3810"/>
                <wp:wrapTight wrapText="bothSides">
                  <wp:wrapPolygon edited="0">
                    <wp:start x="314" y="0"/>
                    <wp:lineTo x="314" y="19261"/>
                    <wp:lineTo x="21035" y="19261"/>
                    <wp:lineTo x="21035" y="0"/>
                    <wp:lineTo x="314" y="0"/>
                  </wp:wrapPolygon>
                </wp:wrapTight>
                <wp:docPr id="15" name="Text Box 15"/>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C279CC5" w14:textId="26B6A88A" w:rsidR="00A33AC1" w:rsidRDefault="00A33AC1" w:rsidP="00A33AC1">
                            <w:pPr>
                              <w:rPr>
                                <w:i/>
                                <w:sz w:val="16"/>
                              </w:rPr>
                            </w:pPr>
                            <w:r>
                              <w:rPr>
                                <w:i/>
                                <w:sz w:val="16"/>
                              </w:rPr>
                              <w:t>Source: Team analysis</w:t>
                            </w:r>
                          </w:p>
                          <w:p w14:paraId="26B61B11" w14:textId="77777777" w:rsidR="00A33AC1" w:rsidRPr="00201C78" w:rsidRDefault="00A33AC1" w:rsidP="00A33AC1">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AA2F02" id="Text Box 15" o:spid="_x0000_s1029" type="#_x0000_t202" style="position:absolute;left:0;text-align:left;margin-left:-12.05pt;margin-top:18.35pt;width:137.6pt;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" filled="f" stroked="f">
                <v:textbox>
                  <w:txbxContent>
                    <w:p w14:paraId="4C279CC5" w14:textId="26B6A88A" w:rsidR="00A33AC1" w:rsidRDefault="00A33AC1" w:rsidP="00A33AC1">
                      <w:pPr>
                        <w:rPr>
                          <w:i/>
                          <w:sz w:val="16"/>
                        </w:rPr>
                      </w:pPr>
                      <w:r>
                        <w:rPr>
                          <w:i/>
                          <w:sz w:val="16"/>
                        </w:rPr>
                        <w:t>Source: Team analysis</w:t>
                      </w:r>
                    </w:p>
                    <w:p w14:paraId="26B61B11" w14:textId="77777777" w:rsidR="00A33AC1" w:rsidRPr="00201C78" w:rsidRDefault="00A33AC1" w:rsidP="00A33AC1">
                      <w:pPr>
                        <w:rPr>
                          <w:i/>
                          <w:sz w:val="16"/>
                        </w:rPr>
                      </w:pPr>
                    </w:p>
                  </w:txbxContent>
                </v:textbox>
                <w10:wrap type="tight"/>
              </v:shape>
            </w:pict>
          </mc:Fallback>
        </mc:AlternateContent>
      </w:r>
      <w:r w:rsidR="003C071E">
        <w:rPr>
          <w:b/>
          <w:bCs/>
          <w:color w:val="3B3838" w:themeColor="background2" w:themeShade="40"/>
          <w:sz w:val="24"/>
          <w:szCs w:val="24"/>
          <w:u w:val="single"/>
        </w:rPr>
        <w:t>Risks</w:t>
      </w:r>
      <w:r w:rsidR="003C071E">
        <w:rPr>
          <w:b/>
          <w:bCs/>
          <w:color w:val="3B3838" w:themeColor="background2" w:themeShade="40"/>
          <w:sz w:val="24"/>
          <w:szCs w:val="24"/>
          <w:u w:val="single"/>
        </w:rPr>
        <w:tab/>
      </w:r>
      <w:r w:rsidR="003C071E">
        <w:rPr>
          <w:b/>
          <w:bCs/>
          <w:color w:val="3B3838" w:themeColor="background2" w:themeShade="40"/>
          <w:sz w:val="24"/>
          <w:szCs w:val="24"/>
          <w:u w:val="single"/>
        </w:rPr>
        <w:tab/>
      </w:r>
      <w:r w:rsidR="003C071E">
        <w:rPr>
          <w:b/>
          <w:bCs/>
          <w:color w:val="3B3838" w:themeColor="background2" w:themeShade="40"/>
          <w:sz w:val="24"/>
          <w:szCs w:val="24"/>
          <w:u w:val="single"/>
        </w:rPr>
        <w:tab/>
      </w:r>
      <w:r w:rsidR="003C071E">
        <w:rPr>
          <w:b/>
          <w:bCs/>
          <w:color w:val="3B3838" w:themeColor="background2" w:themeShade="40"/>
          <w:sz w:val="24"/>
          <w:szCs w:val="24"/>
          <w:u w:val="single"/>
        </w:rPr>
        <w:tab/>
      </w:r>
      <w:r w:rsidR="003C071E">
        <w:rPr>
          <w:b/>
          <w:bCs/>
          <w:color w:val="3B3838" w:themeColor="background2" w:themeShade="40"/>
          <w:sz w:val="24"/>
          <w:szCs w:val="24"/>
          <w:u w:val="single"/>
        </w:rPr>
        <w:tab/>
      </w:r>
      <w:r w:rsidR="003C071E">
        <w:rPr>
          <w:b/>
          <w:bCs/>
          <w:color w:val="3B3838" w:themeColor="background2" w:themeShade="40"/>
          <w:sz w:val="24"/>
          <w:szCs w:val="24"/>
          <w:u w:val="single"/>
        </w:rPr>
        <w:tab/>
      </w:r>
      <w:r w:rsidR="003C071E">
        <w:rPr>
          <w:b/>
          <w:bCs/>
          <w:color w:val="3B3838" w:themeColor="background2" w:themeShade="40"/>
          <w:sz w:val="24"/>
          <w:szCs w:val="24"/>
          <w:u w:val="single"/>
        </w:rPr>
        <w:tab/>
      </w:r>
      <w:r w:rsidR="003C071E">
        <w:rPr>
          <w:b/>
          <w:bCs/>
          <w:color w:val="3B3838" w:themeColor="background2" w:themeShade="40"/>
          <w:sz w:val="24"/>
          <w:szCs w:val="24"/>
          <w:u w:val="single"/>
        </w:rPr>
        <w:tab/>
      </w:r>
    </w:p>
    <w:p w14:paraId="0078F2A2" w14:textId="77EEEEFD" w:rsidR="003C071E" w:rsidRDefault="00D67FF9" w:rsidP="4A47D8C0">
      <w:pPr>
        <w:ind w:left="3600"/>
        <w:contextualSpacing w:val="0"/>
        <w:rPr>
          <w:b/>
          <w:bCs/>
          <w:color w:val="3B3838" w:themeColor="background2" w:themeShade="40"/>
          <w:sz w:val="24"/>
          <w:szCs w:val="24"/>
        </w:rPr>
      </w:pPr>
      <w:r w:rsidRPr="00620585">
        <w:rPr>
          <w:b/>
          <w:bCs/>
          <w:color w:val="3B3838" w:themeColor="background2" w:themeShade="40"/>
          <w:sz w:val="24"/>
          <w:szCs w:val="24"/>
        </w:rPr>
        <w:t>Operation Risks</w:t>
      </w:r>
    </w:p>
    <w:p w14:paraId="49EEC41D" w14:textId="24535314" w:rsidR="00620585" w:rsidRPr="00D7405C" w:rsidRDefault="00D7405C" w:rsidP="00D7405C">
      <w:pPr>
        <w:pStyle w:val="ListParagraph"/>
        <w:numPr>
          <w:ilvl w:val="0"/>
          <w:numId w:val="4"/>
        </w:numPr>
        <w:contextualSpacing w:val="0"/>
        <w:jc w:val="both"/>
        <w:rPr>
          <w:b/>
          <w:bCs/>
          <w:color w:val="3B3838" w:themeColor="background2" w:themeShade="40"/>
          <w:sz w:val="24"/>
          <w:szCs w:val="24"/>
        </w:rPr>
      </w:pPr>
      <w:r>
        <w:rPr>
          <w:noProof/>
        </w:rPr>
        <w:drawing>
          <wp:anchor distT="0" distB="0" distL="114300" distR="114300" simplePos="0" relativeHeight="251686912" behindDoc="0" locked="0" layoutInCell="1" allowOverlap="1" wp14:anchorId="5D8DA159" wp14:editId="217162DA">
            <wp:simplePos x="0" y="0"/>
            <wp:positionH relativeFrom="page">
              <wp:posOffset>47625</wp:posOffset>
            </wp:positionH>
            <wp:positionV relativeFrom="paragraph">
              <wp:posOffset>106045</wp:posOffset>
            </wp:positionV>
            <wp:extent cx="3147695" cy="2098675"/>
            <wp:effectExtent l="0" t="0" r="0" b="0"/>
            <wp:wrapSquare wrapText="bothSides"/>
            <wp:docPr id="5" name="Picture 5" descr="C:\Users\SAKUSER\AppData\Local\Microsoft\Windows\INetCache\Content.MSO\960BFDA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KUSER\AppData\Local\Microsoft\Windows\INetCache\Content.MSO\960BFDA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7695" cy="209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C7C13" w:rsidRPr="00D7405C">
        <w:rPr>
          <w:b/>
          <w:bCs/>
          <w:color w:val="3B3838" w:themeColor="background2" w:themeShade="40"/>
          <w:sz w:val="24"/>
          <w:szCs w:val="24"/>
        </w:rPr>
        <w:t>Foreign Operations</w:t>
      </w:r>
      <w:r w:rsidR="00AF46C4" w:rsidRPr="00D7405C">
        <w:rPr>
          <w:b/>
          <w:bCs/>
          <w:color w:val="3B3838" w:themeColor="background2" w:themeShade="40"/>
          <w:sz w:val="24"/>
          <w:szCs w:val="24"/>
        </w:rPr>
        <w:t xml:space="preserve"> (OR1)</w:t>
      </w:r>
      <w:r w:rsidR="00A63682" w:rsidRPr="00D7405C">
        <w:rPr>
          <w:b/>
          <w:bCs/>
          <w:color w:val="3B3838" w:themeColor="background2" w:themeShade="40"/>
          <w:sz w:val="24"/>
          <w:szCs w:val="24"/>
        </w:rPr>
        <w:t xml:space="preserve">: </w:t>
      </w:r>
      <w:r w:rsidR="00A63682" w:rsidRPr="00D7405C">
        <w:rPr>
          <w:bCs/>
          <w:color w:val="3B3838" w:themeColor="background2" w:themeShade="40"/>
          <w:sz w:val="24"/>
          <w:szCs w:val="24"/>
        </w:rPr>
        <w:t xml:space="preserve">They have production in different countries from their point of sale. This could lead to increased </w:t>
      </w:r>
      <w:r w:rsidR="00CD52FD" w:rsidRPr="00D7405C">
        <w:rPr>
          <w:bCs/>
          <w:color w:val="3B3838" w:themeColor="background2" w:themeShade="40"/>
          <w:sz w:val="24"/>
          <w:szCs w:val="24"/>
        </w:rPr>
        <w:t>tariffs,</w:t>
      </w:r>
      <w:r w:rsidR="00CD52FD" w:rsidRPr="00D7405C">
        <w:rPr>
          <w:bCs/>
          <w:color w:val="3B3838" w:themeColor="background2" w:themeShade="40"/>
        </w:rPr>
        <w:t xml:space="preserve"> </w:t>
      </w:r>
      <w:r w:rsidR="00CD52FD" w:rsidRPr="00D7405C">
        <w:rPr>
          <w:bCs/>
          <w:color w:val="3B3838" w:themeColor="background2" w:themeShade="40"/>
          <w:sz w:val="24"/>
          <w:szCs w:val="24"/>
        </w:rPr>
        <w:t>differences</w:t>
      </w:r>
      <w:r w:rsidR="00A63682" w:rsidRPr="00D7405C">
        <w:rPr>
          <w:bCs/>
          <w:color w:val="3B3838" w:themeColor="background2" w:themeShade="40"/>
          <w:sz w:val="24"/>
          <w:szCs w:val="24"/>
        </w:rPr>
        <w:t xml:space="preserve"> in quality control, and geological conditions not experience in the United States.</w:t>
      </w:r>
    </w:p>
    <w:p w14:paraId="62A2318C" w14:textId="4008A560" w:rsidR="005C7C13" w:rsidRPr="00620585" w:rsidRDefault="005C7C13" w:rsidP="00D7405C">
      <w:pPr>
        <w:pStyle w:val="ListParagraph"/>
        <w:numPr>
          <w:ilvl w:val="0"/>
          <w:numId w:val="4"/>
        </w:numPr>
        <w:contextualSpacing w:val="0"/>
        <w:jc w:val="both"/>
        <w:rPr>
          <w:b/>
          <w:bCs/>
          <w:color w:val="3B3838" w:themeColor="background2" w:themeShade="40"/>
          <w:sz w:val="24"/>
          <w:szCs w:val="24"/>
        </w:rPr>
      </w:pPr>
      <w:r>
        <w:rPr>
          <w:b/>
          <w:bCs/>
          <w:color w:val="3B3838" w:themeColor="background2" w:themeShade="40"/>
          <w:sz w:val="24"/>
          <w:szCs w:val="24"/>
        </w:rPr>
        <w:t>Wholesale Dependency</w:t>
      </w:r>
      <w:r w:rsidR="00AF46C4">
        <w:rPr>
          <w:b/>
          <w:bCs/>
          <w:color w:val="3B3838" w:themeColor="background2" w:themeShade="40"/>
          <w:sz w:val="24"/>
          <w:szCs w:val="24"/>
        </w:rPr>
        <w:t xml:space="preserve"> (OR2)</w:t>
      </w:r>
      <w:r w:rsidR="00A63682">
        <w:rPr>
          <w:b/>
          <w:bCs/>
          <w:color w:val="3B3838" w:themeColor="background2" w:themeShade="40"/>
          <w:sz w:val="24"/>
          <w:szCs w:val="24"/>
        </w:rPr>
        <w:t xml:space="preserve">: </w:t>
      </w:r>
      <w:r w:rsidR="005309C5" w:rsidRPr="005309C5">
        <w:t xml:space="preserve">They sell their products to retailers who are supposed to market their products. </w:t>
      </w:r>
      <w:r w:rsidR="00AF46C4">
        <w:t xml:space="preserve">A failure to position </w:t>
      </w:r>
      <w:r w:rsidR="005309C5" w:rsidRPr="005309C5">
        <w:t xml:space="preserve">their products could see a reduction on the reputation. </w:t>
      </w:r>
    </w:p>
    <w:p w14:paraId="5C02359D" w14:textId="61C494E7" w:rsidR="00620585" w:rsidRDefault="00620585" w:rsidP="4A47D8C0">
      <w:pPr>
        <w:ind w:left="3600"/>
        <w:contextualSpacing w:val="0"/>
        <w:rPr>
          <w:b/>
          <w:bCs/>
          <w:color w:val="3B3838" w:themeColor="background2" w:themeShade="40"/>
          <w:sz w:val="24"/>
          <w:szCs w:val="24"/>
        </w:rPr>
      </w:pPr>
      <w:r w:rsidRPr="00620585">
        <w:rPr>
          <w:b/>
          <w:bCs/>
          <w:color w:val="3B3838" w:themeColor="background2" w:themeShade="40"/>
          <w:sz w:val="24"/>
          <w:szCs w:val="24"/>
        </w:rPr>
        <w:t>Strategic Risks</w:t>
      </w:r>
    </w:p>
    <w:p w14:paraId="0AC5A12C" w14:textId="4F86FD84" w:rsidR="005C7C13" w:rsidRDefault="00A33AC1" w:rsidP="005D3C83">
      <w:pPr>
        <w:pStyle w:val="ListParagraph"/>
        <w:numPr>
          <w:ilvl w:val="0"/>
          <w:numId w:val="5"/>
        </w:numPr>
        <w:contextualSpacing w:val="0"/>
        <w:jc w:val="both"/>
        <w:rPr>
          <w:b/>
          <w:bCs/>
          <w:color w:val="3B3838" w:themeColor="background2" w:themeShade="40"/>
          <w:sz w:val="24"/>
          <w:szCs w:val="24"/>
        </w:rPr>
      </w:pPr>
      <w:r>
        <w:rPr>
          <w:noProof/>
          <w:lang w:val="en-US"/>
        </w:rPr>
        <mc:AlternateContent>
          <mc:Choice Requires="wps">
            <w:drawing>
              <wp:anchor distT="0" distB="0" distL="114300" distR="114300" simplePos="0" relativeHeight="251685888" behindDoc="0" locked="0" layoutInCell="1" allowOverlap="1" wp14:anchorId="27B853C9" wp14:editId="1D0230F7">
                <wp:simplePos x="0" y="0"/>
                <wp:positionH relativeFrom="column">
                  <wp:posOffset>-135227</wp:posOffset>
                </wp:positionH>
                <wp:positionV relativeFrom="paragraph">
                  <wp:posOffset>614928</wp:posOffset>
                </wp:positionV>
                <wp:extent cx="1747520" cy="199390"/>
                <wp:effectExtent l="0" t="0" r="0" b="3810"/>
                <wp:wrapTight wrapText="bothSides">
                  <wp:wrapPolygon edited="0">
                    <wp:start x="314" y="0"/>
                    <wp:lineTo x="314" y="19261"/>
                    <wp:lineTo x="21035" y="19261"/>
                    <wp:lineTo x="21035" y="0"/>
                    <wp:lineTo x="314" y="0"/>
                  </wp:wrapPolygon>
                </wp:wrapTight>
                <wp:docPr id="22" name="Text Box 22"/>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89588F6" w14:textId="77777777" w:rsidR="00A33AC1" w:rsidRDefault="00A33AC1" w:rsidP="00A33AC1">
                            <w:pPr>
                              <w:rPr>
                                <w:i/>
                                <w:sz w:val="16"/>
                              </w:rPr>
                            </w:pPr>
                            <w:r>
                              <w:rPr>
                                <w:i/>
                                <w:sz w:val="16"/>
                              </w:rPr>
                              <w:t>Source: Team analysis</w:t>
                            </w:r>
                          </w:p>
                          <w:p w14:paraId="0BB3FD44" w14:textId="77777777" w:rsidR="00A33AC1" w:rsidRPr="00201C78" w:rsidRDefault="00A33AC1" w:rsidP="00A33AC1">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53C9" id="Text Box 22" o:spid="_x0000_s1030" type="#_x0000_t202" style="position:absolute;left:0;text-align:left;margin-left:-10.65pt;margin-top:48.4pt;width:137.6pt;height:1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" filled="f" stroked="f">
                <v:textbox>
                  <w:txbxContent>
                    <w:p w14:paraId="289588F6" w14:textId="77777777" w:rsidR="00A33AC1" w:rsidRDefault="00A33AC1" w:rsidP="00A33AC1">
                      <w:pPr>
                        <w:rPr>
                          <w:i/>
                          <w:sz w:val="16"/>
                        </w:rPr>
                      </w:pPr>
                      <w:r>
                        <w:rPr>
                          <w:i/>
                          <w:sz w:val="16"/>
                        </w:rPr>
                        <w:t>Source: Team analysis</w:t>
                      </w:r>
                    </w:p>
                    <w:p w14:paraId="0BB3FD44" w14:textId="77777777" w:rsidR="00A33AC1" w:rsidRPr="00201C78" w:rsidRDefault="00A33AC1" w:rsidP="00A33AC1">
                      <w:pPr>
                        <w:rPr>
                          <w:i/>
                          <w:sz w:val="16"/>
                        </w:rPr>
                      </w:pPr>
                    </w:p>
                  </w:txbxContent>
                </v:textbox>
                <w10:wrap type="tight"/>
              </v:shape>
            </w:pict>
          </mc:Fallback>
        </mc:AlternateContent>
      </w:r>
      <w:r w:rsidR="005C7C13">
        <w:rPr>
          <w:b/>
          <w:bCs/>
          <w:color w:val="3B3838" w:themeColor="background2" w:themeShade="40"/>
          <w:sz w:val="24"/>
          <w:szCs w:val="24"/>
        </w:rPr>
        <w:t>Highly Competitive Market</w:t>
      </w:r>
      <w:r w:rsidR="00AF46C4">
        <w:rPr>
          <w:b/>
          <w:bCs/>
          <w:color w:val="3B3838" w:themeColor="background2" w:themeShade="40"/>
          <w:sz w:val="24"/>
          <w:szCs w:val="24"/>
        </w:rPr>
        <w:t xml:space="preserve"> (SR1)</w:t>
      </w:r>
      <w:r w:rsidR="00B1481A">
        <w:rPr>
          <w:b/>
          <w:bCs/>
          <w:color w:val="3B3838" w:themeColor="background2" w:themeShade="40"/>
          <w:sz w:val="24"/>
          <w:szCs w:val="24"/>
        </w:rPr>
        <w:t xml:space="preserve">: </w:t>
      </w:r>
      <w:r w:rsidR="00B1481A" w:rsidRPr="009800B0">
        <w:t xml:space="preserve">The alcohol market is very </w:t>
      </w:r>
      <w:r w:rsidR="00E13332">
        <w:t>comp</w:t>
      </w:r>
      <w:r w:rsidR="00E13332" w:rsidRPr="009800B0">
        <w:t>eti</w:t>
      </w:r>
      <w:r w:rsidR="00E13332">
        <w:t>ti</w:t>
      </w:r>
      <w:r w:rsidR="00E13332" w:rsidRPr="009800B0">
        <w:t>ve</w:t>
      </w:r>
      <w:r w:rsidR="009800B0" w:rsidRPr="009800B0">
        <w:t xml:space="preserve"> relying on consumers </w:t>
      </w:r>
      <w:r w:rsidR="00E13332" w:rsidRPr="009800B0">
        <w:t>preferences</w:t>
      </w:r>
      <w:r w:rsidR="009800B0" w:rsidRPr="009800B0">
        <w:t xml:space="preserve"> and consumers price sensitivity. A failure to reach the next new product could result in losses if not protected against.</w:t>
      </w:r>
      <w:r w:rsidR="009800B0">
        <w:rPr>
          <w:b/>
          <w:bCs/>
          <w:color w:val="3B3838" w:themeColor="background2" w:themeShade="40"/>
          <w:sz w:val="24"/>
          <w:szCs w:val="24"/>
        </w:rPr>
        <w:t xml:space="preserve"> </w:t>
      </w:r>
    </w:p>
    <w:p w14:paraId="50623159" w14:textId="397EFC87" w:rsidR="005C7C13" w:rsidRPr="005C7C13" w:rsidRDefault="00A26A0F" w:rsidP="005D3C83">
      <w:pPr>
        <w:pStyle w:val="ListParagraph"/>
        <w:numPr>
          <w:ilvl w:val="0"/>
          <w:numId w:val="5"/>
        </w:numPr>
        <w:contextualSpacing w:val="0"/>
        <w:jc w:val="both"/>
        <w:rPr>
          <w:b/>
          <w:bCs/>
          <w:color w:val="3B3838" w:themeColor="background2" w:themeShade="40"/>
          <w:sz w:val="24"/>
          <w:szCs w:val="24"/>
        </w:rPr>
      </w:pPr>
      <w:r>
        <w:rPr>
          <w:noProof/>
          <w:lang w:val="en-US"/>
        </w:rPr>
        <w:lastRenderedPageBreak/>
        <w:drawing>
          <wp:anchor distT="0" distB="0" distL="114300" distR="114300" simplePos="0" relativeHeight="251666432" behindDoc="0" locked="0" layoutInCell="1" allowOverlap="1" wp14:anchorId="40159FC8" wp14:editId="0D5CFC37">
            <wp:simplePos x="0" y="0"/>
            <wp:positionH relativeFrom="column">
              <wp:posOffset>-213311</wp:posOffset>
            </wp:positionH>
            <wp:positionV relativeFrom="paragraph">
              <wp:posOffset>195</wp:posOffset>
            </wp:positionV>
            <wp:extent cx="2376219" cy="1562295"/>
            <wp:effectExtent l="0" t="0" r="5080" b="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5C7C13">
        <w:rPr>
          <w:b/>
          <w:bCs/>
          <w:color w:val="3B3838" w:themeColor="background2" w:themeShade="40"/>
          <w:sz w:val="24"/>
          <w:szCs w:val="24"/>
        </w:rPr>
        <w:t>Mergers &amp; Acquisitions</w:t>
      </w:r>
      <w:r w:rsidR="00AF46C4">
        <w:rPr>
          <w:b/>
          <w:bCs/>
          <w:color w:val="3B3838" w:themeColor="background2" w:themeShade="40"/>
          <w:sz w:val="24"/>
          <w:szCs w:val="24"/>
        </w:rPr>
        <w:t xml:space="preserve"> (SR2)</w:t>
      </w:r>
      <w:r w:rsidR="009800B0">
        <w:rPr>
          <w:b/>
          <w:bCs/>
          <w:color w:val="3B3838" w:themeColor="background2" w:themeShade="40"/>
          <w:sz w:val="24"/>
          <w:szCs w:val="24"/>
        </w:rPr>
        <w:t xml:space="preserve">: </w:t>
      </w:r>
      <w:r w:rsidR="009800B0" w:rsidRPr="00A05949">
        <w:t>To keep up with the recent beverage consumption trends, acquiring companies to provide these prod</w:t>
      </w:r>
      <w:r w:rsidR="00A05949" w:rsidRPr="00A05949">
        <w:t>ucts. To many acquisitions might not produce the return compared to the investment in.</w:t>
      </w:r>
      <w:r w:rsidR="00A05949">
        <w:rPr>
          <w:b/>
          <w:bCs/>
          <w:color w:val="3B3838" w:themeColor="background2" w:themeShade="40"/>
          <w:sz w:val="24"/>
          <w:szCs w:val="24"/>
        </w:rPr>
        <w:t xml:space="preserve"> </w:t>
      </w:r>
    </w:p>
    <w:p w14:paraId="5147C416" w14:textId="0282E239" w:rsidR="00D67FF9" w:rsidRDefault="00935FA2" w:rsidP="4A47D8C0">
      <w:pPr>
        <w:ind w:left="3600"/>
        <w:contextualSpacing w:val="0"/>
        <w:rPr>
          <w:b/>
          <w:bCs/>
          <w:color w:val="3B3838" w:themeColor="background2" w:themeShade="40"/>
          <w:sz w:val="24"/>
          <w:szCs w:val="24"/>
        </w:rPr>
      </w:pPr>
      <w:r>
        <w:rPr>
          <w:b/>
          <w:bCs/>
          <w:color w:val="3B3838" w:themeColor="background2" w:themeShade="40"/>
          <w:sz w:val="24"/>
          <w:szCs w:val="24"/>
        </w:rPr>
        <w:t>Financial</w:t>
      </w:r>
      <w:r w:rsidR="00620585" w:rsidRPr="00620585">
        <w:rPr>
          <w:b/>
          <w:bCs/>
          <w:color w:val="3B3838" w:themeColor="background2" w:themeShade="40"/>
          <w:sz w:val="24"/>
          <w:szCs w:val="24"/>
        </w:rPr>
        <w:t xml:space="preserve"> Risks</w:t>
      </w:r>
    </w:p>
    <w:p w14:paraId="2AE679DB" w14:textId="53DF48F1" w:rsidR="005C7C13" w:rsidRPr="00D7405C" w:rsidRDefault="14FBD679" w:rsidP="00D7405C">
      <w:pPr>
        <w:pStyle w:val="ListParagraph"/>
        <w:numPr>
          <w:ilvl w:val="0"/>
          <w:numId w:val="8"/>
        </w:numPr>
        <w:contextualSpacing w:val="0"/>
        <w:jc w:val="both"/>
        <w:rPr>
          <w:b/>
          <w:bCs/>
          <w:color w:val="3B3838" w:themeColor="background2" w:themeShade="40"/>
          <w:sz w:val="24"/>
          <w:szCs w:val="24"/>
        </w:rPr>
      </w:pPr>
      <w:r w:rsidRPr="00D7405C">
        <w:rPr>
          <w:b/>
          <w:bCs/>
          <w:color w:val="3B3838" w:themeColor="background2" w:themeShade="40"/>
          <w:sz w:val="24"/>
          <w:szCs w:val="24"/>
        </w:rPr>
        <w:t>Indebtedness</w:t>
      </w:r>
      <w:r w:rsidR="00AF46C4" w:rsidRPr="00D7405C">
        <w:rPr>
          <w:b/>
          <w:bCs/>
          <w:color w:val="3B3838" w:themeColor="background2" w:themeShade="40"/>
          <w:sz w:val="24"/>
          <w:szCs w:val="24"/>
        </w:rPr>
        <w:t xml:space="preserve"> (</w:t>
      </w:r>
      <w:r w:rsidR="00935FA2" w:rsidRPr="00D7405C">
        <w:rPr>
          <w:b/>
          <w:bCs/>
          <w:color w:val="3B3838" w:themeColor="background2" w:themeShade="40"/>
          <w:sz w:val="24"/>
          <w:szCs w:val="24"/>
        </w:rPr>
        <w:t>F</w:t>
      </w:r>
      <w:r w:rsidR="00AF46C4" w:rsidRPr="00D7405C">
        <w:rPr>
          <w:b/>
          <w:bCs/>
          <w:color w:val="3B3838" w:themeColor="background2" w:themeShade="40"/>
          <w:sz w:val="24"/>
          <w:szCs w:val="24"/>
        </w:rPr>
        <w:t>R1)</w:t>
      </w:r>
      <w:r w:rsidRPr="00D7405C">
        <w:rPr>
          <w:b/>
          <w:bCs/>
          <w:color w:val="3B3838" w:themeColor="background2" w:themeShade="40"/>
          <w:sz w:val="24"/>
          <w:szCs w:val="24"/>
        </w:rPr>
        <w:t xml:space="preserve">: </w:t>
      </w:r>
      <w:r>
        <w:t>They have incurred debt to finance their company acquisitions, operation expansions and constructions, and to repurchase shares of common stock.</w:t>
      </w:r>
    </w:p>
    <w:p w14:paraId="1A80FC94" w14:textId="78044FFF" w:rsidR="00E94474" w:rsidRPr="00D40E9E" w:rsidRDefault="00D7405C" w:rsidP="00A63682">
      <w:pPr>
        <w:pStyle w:val="ListParagraph"/>
        <w:numPr>
          <w:ilvl w:val="0"/>
          <w:numId w:val="6"/>
        </w:numPr>
        <w:contextualSpacing w:val="0"/>
        <w:jc w:val="both"/>
        <w:rPr>
          <w:b/>
          <w:bCs/>
          <w:color w:val="3B3838" w:themeColor="background2" w:themeShade="40"/>
          <w:sz w:val="24"/>
          <w:szCs w:val="24"/>
        </w:rPr>
      </w:pPr>
      <w:r>
        <w:rPr>
          <w:noProof/>
          <w:lang w:val="en-US"/>
        </w:rPr>
        <w:drawing>
          <wp:anchor distT="0" distB="0" distL="114300" distR="114300" simplePos="0" relativeHeight="251668480" behindDoc="0" locked="0" layoutInCell="1" allowOverlap="1" wp14:anchorId="2910AEB3" wp14:editId="122A342B">
            <wp:simplePos x="0" y="0"/>
            <wp:positionH relativeFrom="column">
              <wp:posOffset>-212725</wp:posOffset>
            </wp:positionH>
            <wp:positionV relativeFrom="paragraph">
              <wp:posOffset>353695</wp:posOffset>
            </wp:positionV>
            <wp:extent cx="2376170" cy="1816735"/>
            <wp:effectExtent l="0" t="0" r="5080" b="0"/>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9A699B">
        <w:rPr>
          <w:noProof/>
          <w:lang w:val="en-US"/>
        </w:rPr>
        <mc:AlternateContent>
          <mc:Choice Requires="wps">
            <w:drawing>
              <wp:anchor distT="0" distB="0" distL="114300" distR="114300" simplePos="0" relativeHeight="251670528" behindDoc="0" locked="0" layoutInCell="1" allowOverlap="1" wp14:anchorId="581015D2" wp14:editId="74B612BD">
                <wp:simplePos x="0" y="0"/>
                <wp:positionH relativeFrom="column">
                  <wp:posOffset>-212090</wp:posOffset>
                </wp:positionH>
                <wp:positionV relativeFrom="paragraph">
                  <wp:posOffset>14605</wp:posOffset>
                </wp:positionV>
                <wp:extent cx="1747520" cy="199390"/>
                <wp:effectExtent l="0" t="0" r="0" b="3810"/>
                <wp:wrapTight wrapText="bothSides">
                  <wp:wrapPolygon edited="0">
                    <wp:start x="314" y="0"/>
                    <wp:lineTo x="314" y="19261"/>
                    <wp:lineTo x="21035" y="19261"/>
                    <wp:lineTo x="21035" y="0"/>
                    <wp:lineTo x="314" y="0"/>
                  </wp:wrapPolygon>
                </wp:wrapTight>
                <wp:docPr id="17" name="Text Box 17"/>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075171F" w14:textId="45CA14D6" w:rsidR="009A699B" w:rsidRDefault="009A699B" w:rsidP="009A699B">
                            <w:pPr>
                              <w:rPr>
                                <w:i/>
                                <w:sz w:val="16"/>
                              </w:rPr>
                            </w:pPr>
                            <w:r>
                              <w:rPr>
                                <w:i/>
                                <w:sz w:val="16"/>
                              </w:rPr>
                              <w:t>Source: Company Filings</w:t>
                            </w:r>
                          </w:p>
                          <w:p w14:paraId="4A3DF418" w14:textId="77777777" w:rsidR="009A699B" w:rsidRPr="00201C78" w:rsidRDefault="009A699B" w:rsidP="009A699B">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015D2" id="Text Box 17" o:spid="_x0000_s1031" type="#_x0000_t202" style="position:absolute;left:0;text-align:left;margin-left:-16.7pt;margin-top:1.15pt;width:137.6pt;height:15.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" filled="f" stroked="f">
                <v:textbox>
                  <w:txbxContent>
                    <w:p w14:paraId="2075171F" w14:textId="45CA14D6" w:rsidR="009A699B" w:rsidRDefault="009A699B" w:rsidP="009A699B">
                      <w:pPr>
                        <w:rPr>
                          <w:i/>
                          <w:sz w:val="16"/>
                        </w:rPr>
                      </w:pPr>
                      <w:r>
                        <w:rPr>
                          <w:i/>
                          <w:sz w:val="16"/>
                        </w:rPr>
                        <w:t>Source: Company Filings</w:t>
                      </w:r>
                    </w:p>
                    <w:p w14:paraId="4A3DF418" w14:textId="77777777" w:rsidR="009A699B" w:rsidRPr="00201C78" w:rsidRDefault="009A699B" w:rsidP="009A699B">
                      <w:pPr>
                        <w:rPr>
                          <w:i/>
                          <w:sz w:val="16"/>
                        </w:rPr>
                      </w:pPr>
                    </w:p>
                  </w:txbxContent>
                </v:textbox>
                <w10:wrap type="tight"/>
              </v:shape>
            </w:pict>
          </mc:Fallback>
        </mc:AlternateContent>
      </w:r>
      <w:r w:rsidR="00A05949">
        <w:rPr>
          <w:b/>
          <w:bCs/>
          <w:color w:val="3B3838" w:themeColor="background2" w:themeShade="40"/>
          <w:sz w:val="24"/>
          <w:szCs w:val="24"/>
        </w:rPr>
        <w:t>Reputation</w:t>
      </w:r>
      <w:r w:rsidR="00AF46C4">
        <w:rPr>
          <w:b/>
          <w:bCs/>
          <w:color w:val="3B3838" w:themeColor="background2" w:themeShade="40"/>
          <w:sz w:val="24"/>
          <w:szCs w:val="24"/>
        </w:rPr>
        <w:t xml:space="preserve"> (</w:t>
      </w:r>
      <w:r w:rsidR="00935FA2">
        <w:rPr>
          <w:b/>
          <w:bCs/>
          <w:color w:val="3B3838" w:themeColor="background2" w:themeShade="40"/>
          <w:sz w:val="24"/>
          <w:szCs w:val="24"/>
        </w:rPr>
        <w:t>F</w:t>
      </w:r>
      <w:r w:rsidR="00AF46C4">
        <w:rPr>
          <w:b/>
          <w:bCs/>
          <w:color w:val="3B3838" w:themeColor="background2" w:themeShade="40"/>
          <w:sz w:val="24"/>
          <w:szCs w:val="24"/>
        </w:rPr>
        <w:t>R2)</w:t>
      </w:r>
      <w:r w:rsidR="00A05949">
        <w:rPr>
          <w:b/>
          <w:bCs/>
          <w:color w:val="3B3838" w:themeColor="background2" w:themeShade="40"/>
          <w:sz w:val="24"/>
          <w:szCs w:val="24"/>
        </w:rPr>
        <w:t xml:space="preserve">: </w:t>
      </w:r>
      <w:r w:rsidR="00A05949" w:rsidRPr="00A63682">
        <w:t xml:space="preserve">Having a quality and </w:t>
      </w:r>
      <w:r w:rsidR="00B036C3" w:rsidRPr="00A63682">
        <w:t xml:space="preserve">safe product is crucial for beverages. A failure to maintain and succeed their current levels could </w:t>
      </w:r>
      <w:r w:rsidR="00A63682" w:rsidRPr="00A63682">
        <w:t>hurt their reputation and their brands.</w:t>
      </w:r>
      <w:bookmarkStart w:id="0" w:name="_h7y56tsu0wlc" w:colFirst="0" w:colLast="0"/>
      <w:bookmarkEnd w:id="0"/>
    </w:p>
    <w:p w14:paraId="529917BC" w14:textId="413188BE" w:rsidR="00E94474" w:rsidRDefault="00E94474" w:rsidP="00E94474">
      <w:pPr>
        <w:ind w:left="3600"/>
        <w:rPr>
          <w:b/>
          <w:bCs/>
          <w:color w:val="3B3838" w:themeColor="background2" w:themeShade="40"/>
          <w:sz w:val="24"/>
          <w:szCs w:val="24"/>
          <w:u w:val="single"/>
        </w:rPr>
      </w:pPr>
      <w:r>
        <w:rPr>
          <w:b/>
          <w:bCs/>
          <w:color w:val="3B3838" w:themeColor="background2" w:themeShade="40"/>
          <w:sz w:val="24"/>
          <w:szCs w:val="24"/>
          <w:u w:val="single"/>
        </w:rPr>
        <w:t>Management</w:t>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p>
    <w:p w14:paraId="3412DC45" w14:textId="4829314B" w:rsidR="00E94474" w:rsidRPr="00D40E9E" w:rsidRDefault="009A699B" w:rsidP="00D40E9E">
      <w:pPr>
        <w:ind w:left="3600"/>
        <w:jc w:val="both"/>
      </w:pPr>
      <w:r>
        <w:rPr>
          <w:noProof/>
          <w:lang w:val="en-US"/>
        </w:rPr>
        <mc:AlternateContent>
          <mc:Choice Requires="wps">
            <w:drawing>
              <wp:anchor distT="0" distB="0" distL="114300" distR="114300" simplePos="0" relativeHeight="251672576" behindDoc="0" locked="0" layoutInCell="1" allowOverlap="1" wp14:anchorId="52C05419" wp14:editId="33137A95">
                <wp:simplePos x="0" y="0"/>
                <wp:positionH relativeFrom="column">
                  <wp:posOffset>-222885</wp:posOffset>
                </wp:positionH>
                <wp:positionV relativeFrom="paragraph">
                  <wp:posOffset>1398905</wp:posOffset>
                </wp:positionV>
                <wp:extent cx="1747520" cy="199390"/>
                <wp:effectExtent l="0" t="0" r="0" b="3810"/>
                <wp:wrapTight wrapText="bothSides">
                  <wp:wrapPolygon edited="0">
                    <wp:start x="314" y="0"/>
                    <wp:lineTo x="314" y="19261"/>
                    <wp:lineTo x="21035" y="19261"/>
                    <wp:lineTo x="21035" y="0"/>
                    <wp:lineTo x="314" y="0"/>
                  </wp:wrapPolygon>
                </wp:wrapTight>
                <wp:docPr id="18" name="Text Box 18"/>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D34DA4" w14:textId="31269D37" w:rsidR="009A699B" w:rsidRDefault="009A699B" w:rsidP="009A699B">
                            <w:pPr>
                              <w:rPr>
                                <w:i/>
                                <w:sz w:val="16"/>
                              </w:rPr>
                            </w:pPr>
                            <w:r>
                              <w:rPr>
                                <w:i/>
                                <w:sz w:val="16"/>
                              </w:rPr>
                              <w:t>Source: FactSet</w:t>
                            </w:r>
                          </w:p>
                          <w:p w14:paraId="5E567CD2" w14:textId="77777777" w:rsidR="009A699B" w:rsidRPr="00201C78" w:rsidRDefault="009A699B" w:rsidP="009A699B">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C05419" id="Text Box 18" o:spid="_x0000_s1032" type="#_x0000_t202" style="position:absolute;left:0;text-align:left;margin-left:-17.55pt;margin-top:110.15pt;width:137.6pt;height:15.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" filled="f" stroked="f">
                <v:textbox>
                  <w:txbxContent>
                    <w:p w14:paraId="6DD34DA4" w14:textId="31269D37" w:rsidR="009A699B" w:rsidRDefault="009A699B" w:rsidP="009A699B">
                      <w:pPr>
                        <w:rPr>
                          <w:i/>
                          <w:sz w:val="16"/>
                        </w:rPr>
                      </w:pPr>
                      <w:r>
                        <w:rPr>
                          <w:i/>
                          <w:sz w:val="16"/>
                        </w:rPr>
                        <w:t>Source: FactSet</w:t>
                      </w:r>
                    </w:p>
                    <w:p w14:paraId="5E567CD2" w14:textId="77777777" w:rsidR="009A699B" w:rsidRPr="00201C78" w:rsidRDefault="009A699B" w:rsidP="009A699B">
                      <w:pPr>
                        <w:rPr>
                          <w:i/>
                          <w:sz w:val="16"/>
                        </w:rPr>
                      </w:pPr>
                    </w:p>
                  </w:txbxContent>
                </v:textbox>
                <w10:wrap type="tight"/>
              </v:shape>
            </w:pict>
          </mc:Fallback>
        </mc:AlternateContent>
      </w:r>
      <w:r w:rsidR="003C071E">
        <w:t>Ever since 1945, the start of what is now Constellation Brands, the Sand</w:t>
      </w:r>
      <w:r w:rsidR="00C14D99">
        <w:t xml:space="preserve">s’ family has been in control and handling the business process. Currently Richard Sands, the chairman of the board, and Rob Sands, CEO, </w:t>
      </w:r>
      <w:r w:rsidR="007E1A8B">
        <w:t xml:space="preserve">run the operations of Constellation Brands with more managers that run different product segments and different locations. </w:t>
      </w:r>
      <w:r w:rsidR="00883B13">
        <w:t>But starting March 1, 2019, an outsider will take over as CEO of Constellation Brands</w:t>
      </w:r>
      <w:r w:rsidR="00F86249">
        <w:t>.</w:t>
      </w:r>
      <w:r w:rsidR="008451C6">
        <w:t xml:space="preserve"> Bill Newlands will take over, who was previously the COO and president of Constellation Brands</w:t>
      </w:r>
      <w:r w:rsidR="00F86249">
        <w:t xml:space="preserve"> </w:t>
      </w:r>
      <w:r w:rsidR="00114EF8">
        <w:t xml:space="preserve">and </w:t>
      </w:r>
      <w:r w:rsidR="000E7CE1">
        <w:t>President of Beam Inc. North America</w:t>
      </w:r>
      <w:r w:rsidR="00E153BA">
        <w:t>n</w:t>
      </w:r>
      <w:r w:rsidR="000E7CE1">
        <w:t xml:space="preserve"> division. </w:t>
      </w:r>
    </w:p>
    <w:p w14:paraId="3F95B5C4" w14:textId="66E05BA8" w:rsidR="00D22076" w:rsidRDefault="006747C0" w:rsidP="4A47D8C0">
      <w:pPr>
        <w:ind w:left="3600"/>
        <w:rPr>
          <w:b/>
          <w:bCs/>
          <w:color w:val="3B3838" w:themeColor="background2" w:themeShade="40"/>
          <w:sz w:val="24"/>
          <w:szCs w:val="24"/>
          <w:u w:val="single"/>
        </w:rPr>
      </w:pPr>
      <w:r>
        <w:rPr>
          <w:b/>
          <w:bCs/>
          <w:color w:val="3B3838" w:themeColor="background2" w:themeShade="40"/>
          <w:sz w:val="24"/>
          <w:szCs w:val="24"/>
          <w:u w:val="single"/>
        </w:rPr>
        <w:t>Peer Analysis</w:t>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r>
        <w:rPr>
          <w:b/>
          <w:bCs/>
          <w:color w:val="3B3838" w:themeColor="background2" w:themeShade="40"/>
          <w:sz w:val="24"/>
          <w:szCs w:val="24"/>
          <w:u w:val="single"/>
        </w:rPr>
        <w:tab/>
      </w:r>
    </w:p>
    <w:tbl>
      <w:tblPr>
        <w:tblpPr w:leftFromText="180" w:rightFromText="180" w:vertAnchor="text" w:horzAnchor="page" w:tblpX="600" w:tblpY="97"/>
        <w:tblW w:w="3494" w:type="dxa"/>
        <w:tblLook w:val="04A0" w:firstRow="1" w:lastRow="0" w:firstColumn="1" w:lastColumn="0" w:noHBand="0" w:noVBand="1"/>
      </w:tblPr>
      <w:tblGrid>
        <w:gridCol w:w="907"/>
        <w:gridCol w:w="885"/>
        <w:gridCol w:w="764"/>
        <w:gridCol w:w="938"/>
      </w:tblGrid>
      <w:tr w:rsidR="001B0006" w:rsidRPr="001B0006" w14:paraId="20726265" w14:textId="77777777" w:rsidTr="001B0006">
        <w:trPr>
          <w:trHeight w:val="286"/>
        </w:trPr>
        <w:tc>
          <w:tcPr>
            <w:tcW w:w="907" w:type="dxa"/>
            <w:tcBorders>
              <w:top w:val="nil"/>
              <w:left w:val="nil"/>
              <w:bottom w:val="single" w:sz="12" w:space="0" w:color="FFFFFF"/>
              <w:right w:val="single" w:sz="4" w:space="0" w:color="FFFFFF"/>
            </w:tcBorders>
            <w:shd w:val="clear" w:color="5B9BD5" w:fill="5B9BD5"/>
            <w:noWrap/>
            <w:vAlign w:val="bottom"/>
            <w:hideMark/>
          </w:tcPr>
          <w:p w14:paraId="03B402E2"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Comp.</w:t>
            </w:r>
          </w:p>
        </w:tc>
        <w:tc>
          <w:tcPr>
            <w:tcW w:w="885" w:type="dxa"/>
            <w:tcBorders>
              <w:top w:val="nil"/>
              <w:left w:val="single" w:sz="4" w:space="0" w:color="FFFFFF"/>
              <w:bottom w:val="single" w:sz="12" w:space="0" w:color="FFFFFF"/>
              <w:right w:val="single" w:sz="4" w:space="0" w:color="FFFFFF"/>
            </w:tcBorders>
            <w:shd w:val="clear" w:color="5B9BD5" w:fill="5B9BD5"/>
            <w:noWrap/>
            <w:vAlign w:val="bottom"/>
            <w:hideMark/>
          </w:tcPr>
          <w:p w14:paraId="2BDF38B2"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Sales</w:t>
            </w:r>
          </w:p>
        </w:tc>
        <w:tc>
          <w:tcPr>
            <w:tcW w:w="764" w:type="dxa"/>
            <w:tcBorders>
              <w:top w:val="nil"/>
              <w:left w:val="single" w:sz="4" w:space="0" w:color="FFFFFF"/>
              <w:bottom w:val="single" w:sz="12" w:space="0" w:color="FFFFFF"/>
              <w:right w:val="single" w:sz="4" w:space="0" w:color="FFFFFF"/>
            </w:tcBorders>
            <w:shd w:val="clear" w:color="5B9BD5" w:fill="5B9BD5"/>
            <w:noWrap/>
            <w:vAlign w:val="bottom"/>
            <w:hideMark/>
          </w:tcPr>
          <w:p w14:paraId="2D8EDF07"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EPS</w:t>
            </w:r>
          </w:p>
        </w:tc>
        <w:tc>
          <w:tcPr>
            <w:tcW w:w="938" w:type="dxa"/>
            <w:tcBorders>
              <w:top w:val="nil"/>
              <w:left w:val="single" w:sz="4" w:space="0" w:color="FFFFFF"/>
              <w:bottom w:val="single" w:sz="12" w:space="0" w:color="FFFFFF"/>
              <w:right w:val="nil"/>
            </w:tcBorders>
            <w:shd w:val="clear" w:color="5B9BD5" w:fill="5B9BD5"/>
            <w:noWrap/>
            <w:vAlign w:val="bottom"/>
            <w:hideMark/>
          </w:tcPr>
          <w:p w14:paraId="5D0EEBA1" w14:textId="7721B0C5"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Div. Y</w:t>
            </w:r>
            <w:r w:rsidR="009A699B">
              <w:rPr>
                <w:rFonts w:ascii="Calibri" w:eastAsia="Times New Roman" w:hAnsi="Calibri" w:cs="Times New Roman"/>
                <w:b/>
                <w:bCs/>
                <w:color w:val="FFFFFF"/>
                <w:szCs w:val="24"/>
                <w:lang w:val="en-US"/>
              </w:rPr>
              <w:t>ie</w:t>
            </w:r>
            <w:r w:rsidRPr="001B0006">
              <w:rPr>
                <w:rFonts w:ascii="Calibri" w:eastAsia="Times New Roman" w:hAnsi="Calibri" w:cs="Times New Roman"/>
                <w:b/>
                <w:bCs/>
                <w:color w:val="FFFFFF"/>
                <w:szCs w:val="24"/>
                <w:lang w:val="en-US"/>
              </w:rPr>
              <w:t>ld</w:t>
            </w:r>
          </w:p>
        </w:tc>
      </w:tr>
      <w:tr w:rsidR="001B0006" w:rsidRPr="001B0006" w14:paraId="243FF774" w14:textId="77777777" w:rsidTr="001B0006">
        <w:trPr>
          <w:trHeight w:val="286"/>
        </w:trPr>
        <w:tc>
          <w:tcPr>
            <w:tcW w:w="907" w:type="dxa"/>
            <w:tcBorders>
              <w:top w:val="single" w:sz="4" w:space="0" w:color="FFFFFF"/>
              <w:left w:val="nil"/>
              <w:bottom w:val="single" w:sz="4" w:space="0" w:color="FFFFFF"/>
              <w:right w:val="single" w:sz="4" w:space="0" w:color="FFFFFF"/>
            </w:tcBorders>
            <w:shd w:val="clear" w:color="5B9BD5" w:fill="5B9BD5"/>
            <w:noWrap/>
            <w:vAlign w:val="bottom"/>
            <w:hideMark/>
          </w:tcPr>
          <w:p w14:paraId="5F358D8A"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STZ</w:t>
            </w:r>
          </w:p>
        </w:tc>
        <w:tc>
          <w:tcPr>
            <w:tcW w:w="885"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2483C099"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 xml:space="preserve"> 7,913 </w:t>
            </w:r>
          </w:p>
        </w:tc>
        <w:tc>
          <w:tcPr>
            <w:tcW w:w="764"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6D8082C6"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12.47</w:t>
            </w:r>
          </w:p>
        </w:tc>
        <w:tc>
          <w:tcPr>
            <w:tcW w:w="938" w:type="dxa"/>
            <w:tcBorders>
              <w:top w:val="single" w:sz="4" w:space="0" w:color="FFFFFF"/>
              <w:left w:val="single" w:sz="4" w:space="0" w:color="FFFFFF"/>
              <w:bottom w:val="single" w:sz="4" w:space="0" w:color="FFFFFF"/>
              <w:right w:val="nil"/>
            </w:tcBorders>
            <w:shd w:val="clear" w:color="BDD7EE" w:fill="BDD7EE"/>
            <w:noWrap/>
            <w:vAlign w:val="bottom"/>
            <w:hideMark/>
          </w:tcPr>
          <w:p w14:paraId="7625D3EC"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0.97%</w:t>
            </w:r>
          </w:p>
        </w:tc>
      </w:tr>
      <w:tr w:rsidR="001B0006" w:rsidRPr="001B0006" w14:paraId="5A1A9367" w14:textId="77777777" w:rsidTr="001B0006">
        <w:trPr>
          <w:trHeight w:val="286"/>
        </w:trPr>
        <w:tc>
          <w:tcPr>
            <w:tcW w:w="907" w:type="dxa"/>
            <w:tcBorders>
              <w:top w:val="single" w:sz="4" w:space="0" w:color="FFFFFF"/>
              <w:left w:val="nil"/>
              <w:bottom w:val="single" w:sz="4" w:space="0" w:color="FFFFFF"/>
              <w:right w:val="single" w:sz="4" w:space="0" w:color="FFFFFF"/>
            </w:tcBorders>
            <w:shd w:val="clear" w:color="5B9BD5" w:fill="5B9BD5"/>
            <w:noWrap/>
            <w:vAlign w:val="bottom"/>
            <w:hideMark/>
          </w:tcPr>
          <w:p w14:paraId="4504D437"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BUD</w:t>
            </w:r>
          </w:p>
        </w:tc>
        <w:tc>
          <w:tcPr>
            <w:tcW w:w="885"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54E08DC"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 xml:space="preserve"> 56,427 </w:t>
            </w:r>
          </w:p>
        </w:tc>
        <w:tc>
          <w:tcPr>
            <w:tcW w:w="764"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7DB6D9AD"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4.02</w:t>
            </w:r>
          </w:p>
        </w:tc>
        <w:tc>
          <w:tcPr>
            <w:tcW w:w="938" w:type="dxa"/>
            <w:tcBorders>
              <w:top w:val="single" w:sz="4" w:space="0" w:color="FFFFFF"/>
              <w:left w:val="single" w:sz="4" w:space="0" w:color="FFFFFF"/>
              <w:bottom w:val="single" w:sz="4" w:space="0" w:color="FFFFFF"/>
              <w:right w:val="nil"/>
            </w:tcBorders>
            <w:shd w:val="clear" w:color="DDEBF7" w:fill="DDEBF7"/>
            <w:noWrap/>
            <w:vAlign w:val="bottom"/>
            <w:hideMark/>
          </w:tcPr>
          <w:p w14:paraId="6AC9C86B"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2.71%</w:t>
            </w:r>
          </w:p>
        </w:tc>
      </w:tr>
      <w:tr w:rsidR="001B0006" w:rsidRPr="001B0006" w14:paraId="18773004" w14:textId="77777777" w:rsidTr="001B0006">
        <w:trPr>
          <w:trHeight w:val="286"/>
        </w:trPr>
        <w:tc>
          <w:tcPr>
            <w:tcW w:w="907" w:type="dxa"/>
            <w:tcBorders>
              <w:top w:val="single" w:sz="4" w:space="0" w:color="FFFFFF"/>
              <w:left w:val="nil"/>
              <w:bottom w:val="single" w:sz="4" w:space="0" w:color="FFFFFF"/>
              <w:right w:val="single" w:sz="4" w:space="0" w:color="FFFFFF"/>
            </w:tcBorders>
            <w:shd w:val="clear" w:color="5B9BD5" w:fill="5B9BD5"/>
            <w:noWrap/>
            <w:vAlign w:val="bottom"/>
            <w:hideMark/>
          </w:tcPr>
          <w:p w14:paraId="4895AADD"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HEINY</w:t>
            </w:r>
          </w:p>
        </w:tc>
        <w:tc>
          <w:tcPr>
            <w:tcW w:w="885"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30C8AEF6"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 xml:space="preserve"> 26,374 </w:t>
            </w:r>
          </w:p>
        </w:tc>
        <w:tc>
          <w:tcPr>
            <w:tcW w:w="764" w:type="dxa"/>
            <w:tcBorders>
              <w:top w:val="single" w:sz="4" w:space="0" w:color="FFFFFF"/>
              <w:left w:val="single" w:sz="4" w:space="0" w:color="FFFFFF"/>
              <w:bottom w:val="single" w:sz="4" w:space="0" w:color="FFFFFF"/>
              <w:right w:val="single" w:sz="4" w:space="0" w:color="FFFFFF"/>
            </w:tcBorders>
            <w:shd w:val="clear" w:color="BDD7EE" w:fill="BDD7EE"/>
            <w:noWrap/>
            <w:vAlign w:val="bottom"/>
            <w:hideMark/>
          </w:tcPr>
          <w:p w14:paraId="1DECE292"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3.64</w:t>
            </w:r>
          </w:p>
        </w:tc>
        <w:tc>
          <w:tcPr>
            <w:tcW w:w="938" w:type="dxa"/>
            <w:tcBorders>
              <w:top w:val="single" w:sz="4" w:space="0" w:color="FFFFFF"/>
              <w:left w:val="single" w:sz="4" w:space="0" w:color="FFFFFF"/>
              <w:bottom w:val="single" w:sz="4" w:space="0" w:color="FFFFFF"/>
              <w:right w:val="nil"/>
            </w:tcBorders>
            <w:shd w:val="clear" w:color="BDD7EE" w:fill="BDD7EE"/>
            <w:noWrap/>
            <w:vAlign w:val="bottom"/>
            <w:hideMark/>
          </w:tcPr>
          <w:p w14:paraId="23BCAE4B"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1.69%</w:t>
            </w:r>
          </w:p>
        </w:tc>
      </w:tr>
      <w:tr w:rsidR="001B0006" w:rsidRPr="001B0006" w14:paraId="606112AC" w14:textId="77777777" w:rsidTr="001B0006">
        <w:trPr>
          <w:trHeight w:val="286"/>
        </w:trPr>
        <w:tc>
          <w:tcPr>
            <w:tcW w:w="907" w:type="dxa"/>
            <w:tcBorders>
              <w:top w:val="single" w:sz="4" w:space="0" w:color="FFFFFF"/>
              <w:left w:val="nil"/>
              <w:bottom w:val="single" w:sz="4" w:space="0" w:color="FFFFFF"/>
              <w:right w:val="single" w:sz="4" w:space="0" w:color="FFFFFF"/>
            </w:tcBorders>
            <w:shd w:val="clear" w:color="5B9BD5" w:fill="5B9BD5"/>
            <w:noWrap/>
            <w:vAlign w:val="bottom"/>
            <w:hideMark/>
          </w:tcPr>
          <w:p w14:paraId="2F79C8D8" w14:textId="77777777"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TAP</w:t>
            </w:r>
          </w:p>
        </w:tc>
        <w:tc>
          <w:tcPr>
            <w:tcW w:w="885"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6E1AD391"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 xml:space="preserve"> 10,880 </w:t>
            </w:r>
          </w:p>
        </w:tc>
        <w:tc>
          <w:tcPr>
            <w:tcW w:w="764" w:type="dxa"/>
            <w:tcBorders>
              <w:top w:val="single" w:sz="4" w:space="0" w:color="FFFFFF"/>
              <w:left w:val="single" w:sz="4" w:space="0" w:color="FFFFFF"/>
              <w:bottom w:val="single" w:sz="4" w:space="0" w:color="FFFFFF"/>
              <w:right w:val="single" w:sz="4" w:space="0" w:color="FFFFFF"/>
            </w:tcBorders>
            <w:shd w:val="clear" w:color="DDEBF7" w:fill="DDEBF7"/>
            <w:noWrap/>
            <w:vAlign w:val="bottom"/>
            <w:hideMark/>
          </w:tcPr>
          <w:p w14:paraId="16335E5C"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6.38</w:t>
            </w:r>
          </w:p>
        </w:tc>
        <w:tc>
          <w:tcPr>
            <w:tcW w:w="938" w:type="dxa"/>
            <w:tcBorders>
              <w:top w:val="single" w:sz="4" w:space="0" w:color="FFFFFF"/>
              <w:left w:val="single" w:sz="4" w:space="0" w:color="FFFFFF"/>
              <w:bottom w:val="single" w:sz="4" w:space="0" w:color="FFFFFF"/>
              <w:right w:val="nil"/>
            </w:tcBorders>
            <w:shd w:val="clear" w:color="DDEBF7" w:fill="DDEBF7"/>
            <w:noWrap/>
            <w:vAlign w:val="bottom"/>
            <w:hideMark/>
          </w:tcPr>
          <w:p w14:paraId="4BB7AC7D"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2.00%</w:t>
            </w:r>
          </w:p>
        </w:tc>
      </w:tr>
      <w:tr w:rsidR="001B0006" w:rsidRPr="001B0006" w14:paraId="38FDC459" w14:textId="77777777" w:rsidTr="001B0006">
        <w:trPr>
          <w:trHeight w:val="286"/>
        </w:trPr>
        <w:tc>
          <w:tcPr>
            <w:tcW w:w="907" w:type="dxa"/>
            <w:tcBorders>
              <w:top w:val="single" w:sz="4" w:space="0" w:color="FFFFFF"/>
              <w:left w:val="nil"/>
              <w:bottom w:val="nil"/>
              <w:right w:val="single" w:sz="4" w:space="0" w:color="FFFFFF"/>
            </w:tcBorders>
            <w:shd w:val="clear" w:color="5B9BD5" w:fill="5B9BD5"/>
            <w:noWrap/>
            <w:vAlign w:val="bottom"/>
            <w:hideMark/>
          </w:tcPr>
          <w:p w14:paraId="07163378" w14:textId="437FC5CA" w:rsidR="001B0006" w:rsidRPr="001B0006" w:rsidRDefault="001B0006" w:rsidP="001B0006">
            <w:pPr>
              <w:spacing w:line="240" w:lineRule="auto"/>
              <w:contextualSpacing w:val="0"/>
              <w:rPr>
                <w:rFonts w:ascii="Calibri" w:eastAsia="Times New Roman" w:hAnsi="Calibri" w:cs="Times New Roman"/>
                <w:b/>
                <w:bCs/>
                <w:color w:val="FFFFFF"/>
                <w:szCs w:val="24"/>
                <w:lang w:val="en-US"/>
              </w:rPr>
            </w:pPr>
            <w:r w:rsidRPr="001B0006">
              <w:rPr>
                <w:rFonts w:ascii="Calibri" w:eastAsia="Times New Roman" w:hAnsi="Calibri" w:cs="Times New Roman"/>
                <w:b/>
                <w:bCs/>
                <w:color w:val="FFFFFF"/>
                <w:szCs w:val="24"/>
                <w:lang w:val="en-US"/>
              </w:rPr>
              <w:t>PDRDY</w:t>
            </w:r>
          </w:p>
        </w:tc>
        <w:tc>
          <w:tcPr>
            <w:tcW w:w="885" w:type="dxa"/>
            <w:tcBorders>
              <w:top w:val="single" w:sz="4" w:space="0" w:color="FFFFFF"/>
              <w:left w:val="single" w:sz="4" w:space="0" w:color="FFFFFF"/>
              <w:bottom w:val="nil"/>
              <w:right w:val="single" w:sz="4" w:space="0" w:color="FFFFFF"/>
            </w:tcBorders>
            <w:shd w:val="clear" w:color="BDD7EE" w:fill="BDD7EE"/>
            <w:noWrap/>
            <w:vAlign w:val="bottom"/>
            <w:hideMark/>
          </w:tcPr>
          <w:p w14:paraId="79C1340B"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 xml:space="preserve"> 10,716 </w:t>
            </w:r>
          </w:p>
        </w:tc>
        <w:tc>
          <w:tcPr>
            <w:tcW w:w="764" w:type="dxa"/>
            <w:tcBorders>
              <w:top w:val="single" w:sz="4" w:space="0" w:color="FFFFFF"/>
              <w:left w:val="single" w:sz="4" w:space="0" w:color="FFFFFF"/>
              <w:bottom w:val="nil"/>
              <w:right w:val="single" w:sz="4" w:space="0" w:color="FFFFFF"/>
            </w:tcBorders>
            <w:shd w:val="clear" w:color="BDD7EE" w:fill="BDD7EE"/>
            <w:noWrap/>
            <w:vAlign w:val="bottom"/>
            <w:hideMark/>
          </w:tcPr>
          <w:p w14:paraId="03F685B5"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6.23</w:t>
            </w:r>
          </w:p>
        </w:tc>
        <w:tc>
          <w:tcPr>
            <w:tcW w:w="938" w:type="dxa"/>
            <w:tcBorders>
              <w:top w:val="single" w:sz="4" w:space="0" w:color="FFFFFF"/>
              <w:left w:val="single" w:sz="4" w:space="0" w:color="FFFFFF"/>
              <w:bottom w:val="nil"/>
              <w:right w:val="nil"/>
            </w:tcBorders>
            <w:shd w:val="clear" w:color="BDD7EE" w:fill="BDD7EE"/>
            <w:noWrap/>
            <w:vAlign w:val="bottom"/>
            <w:hideMark/>
          </w:tcPr>
          <w:p w14:paraId="23742009" w14:textId="77777777" w:rsidR="001B0006" w:rsidRPr="001B0006" w:rsidRDefault="001B0006" w:rsidP="001B0006">
            <w:pPr>
              <w:spacing w:line="240" w:lineRule="auto"/>
              <w:contextualSpacing w:val="0"/>
              <w:jc w:val="right"/>
              <w:rPr>
                <w:rFonts w:ascii="Calibri" w:eastAsia="Times New Roman" w:hAnsi="Calibri" w:cs="Times New Roman"/>
                <w:color w:val="000000"/>
                <w:szCs w:val="24"/>
                <w:lang w:val="en-US"/>
              </w:rPr>
            </w:pPr>
            <w:r w:rsidRPr="001B0006">
              <w:rPr>
                <w:rFonts w:ascii="Calibri" w:eastAsia="Times New Roman" w:hAnsi="Calibri" w:cs="Times New Roman"/>
                <w:color w:val="000000"/>
                <w:szCs w:val="24"/>
                <w:lang w:val="en-US"/>
              </w:rPr>
              <w:t>1.69%</w:t>
            </w:r>
          </w:p>
        </w:tc>
      </w:tr>
    </w:tbl>
    <w:p w14:paraId="2E7EF488" w14:textId="1272B2F9" w:rsidR="001B0006" w:rsidRDefault="00FA3A4C" w:rsidP="00C66FF0">
      <w:pPr>
        <w:ind w:left="3600"/>
        <w:jc w:val="both"/>
      </w:pPr>
      <w:r>
        <w:t xml:space="preserve">Constellation Brands identifies its competitors by its different beverage </w:t>
      </w:r>
    </w:p>
    <w:p w14:paraId="67250C76" w14:textId="25FFE0FA" w:rsidR="009A699B" w:rsidRPr="00DC138D" w:rsidRDefault="009A699B" w:rsidP="009A699B">
      <w:pPr>
        <w:ind w:left="3600"/>
        <w:jc w:val="both"/>
      </w:pPr>
      <w:r>
        <w:rPr>
          <w:noProof/>
          <w:lang w:val="en-US"/>
        </w:rPr>
        <mc:AlternateContent>
          <mc:Choice Requires="wps">
            <w:drawing>
              <wp:anchor distT="0" distB="0" distL="114300" distR="114300" simplePos="0" relativeHeight="251674624" behindDoc="0" locked="0" layoutInCell="1" allowOverlap="1" wp14:anchorId="641E8C06" wp14:editId="0BF9D166">
                <wp:simplePos x="0" y="0"/>
                <wp:positionH relativeFrom="column">
                  <wp:posOffset>-218440</wp:posOffset>
                </wp:positionH>
                <wp:positionV relativeFrom="paragraph">
                  <wp:posOffset>1242695</wp:posOffset>
                </wp:positionV>
                <wp:extent cx="1747520" cy="232410"/>
                <wp:effectExtent l="0" t="0" r="0" b="0"/>
                <wp:wrapTight wrapText="bothSides">
                  <wp:wrapPolygon edited="0">
                    <wp:start x="314" y="0"/>
                    <wp:lineTo x="314" y="18885"/>
                    <wp:lineTo x="21035" y="18885"/>
                    <wp:lineTo x="21035" y="0"/>
                    <wp:lineTo x="314" y="0"/>
                  </wp:wrapPolygon>
                </wp:wrapTight>
                <wp:docPr id="19" name="Text Box 19"/>
                <wp:cNvGraphicFramePr/>
                <a:graphic xmlns:a="http://schemas.openxmlformats.org/drawingml/2006/main">
                  <a:graphicData uri="http://schemas.microsoft.com/office/word/2010/wordprocessingShape">
                    <wps:wsp>
                      <wps:cNvSpPr txBox="1"/>
                      <wps:spPr>
                        <a:xfrm>
                          <a:off x="0" y="0"/>
                          <a:ext cx="1747520" cy="2324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47944F8" w14:textId="77777777" w:rsidR="009A699B" w:rsidRDefault="009A699B" w:rsidP="009A699B">
                            <w:pPr>
                              <w:rPr>
                                <w:i/>
                                <w:sz w:val="16"/>
                              </w:rPr>
                            </w:pPr>
                            <w:r>
                              <w:rPr>
                                <w:i/>
                                <w:sz w:val="16"/>
                              </w:rPr>
                              <w:t>Source: FactSet</w:t>
                            </w:r>
                          </w:p>
                          <w:p w14:paraId="0B57A67A" w14:textId="77777777" w:rsidR="009A699B" w:rsidRPr="00201C78" w:rsidRDefault="009A699B" w:rsidP="009A699B">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E8C06" id="Text Box 19" o:spid="_x0000_s1033" type="#_x0000_t202" style="position:absolute;left:0;text-align:left;margin-left:-17.2pt;margin-top:97.85pt;width:137.6pt;height:1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" filled="f" stroked="f">
                <v:textbox>
                  <w:txbxContent>
                    <w:p w14:paraId="147944F8" w14:textId="77777777" w:rsidR="009A699B" w:rsidRDefault="009A699B" w:rsidP="009A699B">
                      <w:pPr>
                        <w:rPr>
                          <w:i/>
                          <w:sz w:val="16"/>
                        </w:rPr>
                      </w:pPr>
                      <w:r>
                        <w:rPr>
                          <w:i/>
                          <w:sz w:val="16"/>
                        </w:rPr>
                        <w:t>Source: FactSet</w:t>
                      </w:r>
                    </w:p>
                    <w:p w14:paraId="0B57A67A" w14:textId="77777777" w:rsidR="009A699B" w:rsidRPr="00201C78" w:rsidRDefault="009A699B" w:rsidP="009A699B">
                      <w:pPr>
                        <w:rPr>
                          <w:i/>
                          <w:sz w:val="16"/>
                        </w:rPr>
                      </w:pPr>
                    </w:p>
                  </w:txbxContent>
                </v:textbox>
                <w10:wrap type="tight"/>
              </v:shape>
            </w:pict>
          </mc:Fallback>
        </mc:AlternateContent>
      </w:r>
      <w:r w:rsidR="00FA3A4C">
        <w:t xml:space="preserve">sector – beer, wine or </w:t>
      </w:r>
      <w:r w:rsidR="00E13332">
        <w:t>spirits</w:t>
      </w:r>
      <w:r w:rsidR="00FA3A4C">
        <w:t xml:space="preserve"> – and Figure # shows who the top competitors are for The Company. When we look at how the United States alcohol segment has shifted over the past five years, Constellation Brands has shifted most of their pro</w:t>
      </w:r>
      <w:r w:rsidR="00883B13">
        <w:t xml:space="preserve">ducts to appeal to the trends of </w:t>
      </w:r>
      <w:r w:rsidR="00FA3A4C">
        <w:t xml:space="preserve">alcohol consumers. This has positioned The Company in a more favorable position for continued earnings from year to year as well as finding the new product </w:t>
      </w:r>
      <w:r>
        <w:t>that consumers will favor. When compared to the entire indus</w:t>
      </w:r>
      <w:r w:rsidR="004E0D4A">
        <w:t>try, Constellation Brands falls within the top of m</w:t>
      </w:r>
      <w:r w:rsidR="00AA390A">
        <w:t>ajor categories for the future.</w:t>
      </w:r>
    </w:p>
    <w:p w14:paraId="5180EBE1" w14:textId="7D61A4E5" w:rsidR="00D13468" w:rsidRPr="00DC138D" w:rsidRDefault="007303D9" w:rsidP="00C66FF0">
      <w:pPr>
        <w:ind w:left="3600"/>
        <w:jc w:val="both"/>
      </w:pPr>
      <w:bookmarkStart w:id="1" w:name="_GoBack"/>
      <w:bookmarkEnd w:id="1"/>
      <w:r>
        <w:rPr>
          <w:noProof/>
          <w:lang w:val="en-US"/>
        </w:rPr>
        <w:drawing>
          <wp:anchor distT="0" distB="0" distL="114300" distR="114300" simplePos="0" relativeHeight="251662336" behindDoc="0" locked="0" layoutInCell="1" allowOverlap="1" wp14:anchorId="40E9ADEC" wp14:editId="21350AC9">
            <wp:simplePos x="0" y="0"/>
            <wp:positionH relativeFrom="column">
              <wp:posOffset>-234950</wp:posOffset>
            </wp:positionH>
            <wp:positionV relativeFrom="paragraph">
              <wp:posOffset>227965</wp:posOffset>
            </wp:positionV>
            <wp:extent cx="3075940" cy="2155190"/>
            <wp:effectExtent l="0" t="0" r="0" b="0"/>
            <wp:wrapSquare wrapText="bothSides"/>
            <wp:docPr id="7" name="Chart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4300" distR="114300" simplePos="0" relativeHeight="251678720" behindDoc="0" locked="0" layoutInCell="1" allowOverlap="1" wp14:anchorId="449A2E38" wp14:editId="38EABCE7">
                <wp:simplePos x="0" y="0"/>
                <wp:positionH relativeFrom="column">
                  <wp:posOffset>4566920</wp:posOffset>
                </wp:positionH>
                <wp:positionV relativeFrom="paragraph">
                  <wp:posOffset>2189480</wp:posOffset>
                </wp:positionV>
                <wp:extent cx="1747520" cy="199390"/>
                <wp:effectExtent l="0" t="0" r="0" b="3810"/>
                <wp:wrapTight wrapText="bothSides">
                  <wp:wrapPolygon edited="0">
                    <wp:start x="314" y="0"/>
                    <wp:lineTo x="314" y="19261"/>
                    <wp:lineTo x="21035" y="19261"/>
                    <wp:lineTo x="21035" y="0"/>
                    <wp:lineTo x="314" y="0"/>
                  </wp:wrapPolygon>
                </wp:wrapTight>
                <wp:docPr id="21" name="Text Box 21"/>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1F9344" w14:textId="77777777" w:rsidR="009A699B" w:rsidRDefault="009A699B" w:rsidP="009A699B">
                            <w:pPr>
                              <w:rPr>
                                <w:i/>
                                <w:sz w:val="16"/>
                              </w:rPr>
                            </w:pPr>
                            <w:r>
                              <w:rPr>
                                <w:i/>
                                <w:sz w:val="16"/>
                              </w:rPr>
                              <w:t>Source: FactSet</w:t>
                            </w:r>
                          </w:p>
                          <w:p w14:paraId="6F617AD5" w14:textId="77777777" w:rsidR="009A699B" w:rsidRPr="00201C78" w:rsidRDefault="009A699B" w:rsidP="009A699B">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A2E38" id="Text Box 21" o:spid="_x0000_s1034" type="#_x0000_t202" style="position:absolute;left:0;text-align:left;margin-left:359.6pt;margin-top:172.4pt;width:137.6pt;height:15.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" filled="f" stroked="f">
                <v:textbox>
                  <w:txbxContent>
                    <w:p w14:paraId="6D1F9344" w14:textId="77777777" w:rsidR="009A699B" w:rsidRDefault="009A699B" w:rsidP="009A699B">
                      <w:pPr>
                        <w:rPr>
                          <w:i/>
                          <w:sz w:val="16"/>
                        </w:rPr>
                      </w:pPr>
                      <w:r>
                        <w:rPr>
                          <w:i/>
                          <w:sz w:val="16"/>
                        </w:rPr>
                        <w:t>Source: FactSet</w:t>
                      </w:r>
                    </w:p>
                    <w:p w14:paraId="6F617AD5" w14:textId="77777777" w:rsidR="009A699B" w:rsidRPr="00201C78" w:rsidRDefault="009A699B" w:rsidP="009A699B">
                      <w:pPr>
                        <w:rPr>
                          <w:i/>
                          <w:sz w:val="16"/>
                        </w:rPr>
                      </w:pPr>
                    </w:p>
                  </w:txbxContent>
                </v:textbox>
                <w10:wrap type="tight"/>
              </v:shape>
            </w:pict>
          </mc:Fallback>
        </mc:AlternateContent>
      </w:r>
      <w:r>
        <w:rPr>
          <w:noProof/>
          <w:lang w:val="en-US"/>
        </w:rPr>
        <mc:AlternateContent>
          <mc:Choice Requires="wps">
            <w:drawing>
              <wp:anchor distT="0" distB="0" distL="114300" distR="114300" simplePos="0" relativeHeight="251676672" behindDoc="0" locked="0" layoutInCell="1" allowOverlap="1" wp14:anchorId="58214799" wp14:editId="2B01DD0C">
                <wp:simplePos x="0" y="0"/>
                <wp:positionH relativeFrom="column">
                  <wp:posOffset>1483995</wp:posOffset>
                </wp:positionH>
                <wp:positionV relativeFrom="paragraph">
                  <wp:posOffset>2189480</wp:posOffset>
                </wp:positionV>
                <wp:extent cx="1747520" cy="199390"/>
                <wp:effectExtent l="0" t="0" r="0" b="3810"/>
                <wp:wrapTight wrapText="bothSides">
                  <wp:wrapPolygon edited="0">
                    <wp:start x="314" y="0"/>
                    <wp:lineTo x="314" y="19261"/>
                    <wp:lineTo x="21035" y="19261"/>
                    <wp:lineTo x="21035" y="0"/>
                    <wp:lineTo x="314" y="0"/>
                  </wp:wrapPolygon>
                </wp:wrapTight>
                <wp:docPr id="20" name="Text Box 20"/>
                <wp:cNvGraphicFramePr/>
                <a:graphic xmlns:a="http://schemas.openxmlformats.org/drawingml/2006/main">
                  <a:graphicData uri="http://schemas.microsoft.com/office/word/2010/wordprocessingShape">
                    <wps:wsp>
                      <wps:cNvSpPr txBox="1"/>
                      <wps:spPr>
                        <a:xfrm>
                          <a:off x="0" y="0"/>
                          <a:ext cx="1747520" cy="1993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FE51D27" w14:textId="77777777" w:rsidR="009A699B" w:rsidRDefault="009A699B" w:rsidP="009A699B">
                            <w:pPr>
                              <w:rPr>
                                <w:i/>
                                <w:sz w:val="16"/>
                              </w:rPr>
                            </w:pPr>
                            <w:r>
                              <w:rPr>
                                <w:i/>
                                <w:sz w:val="16"/>
                              </w:rPr>
                              <w:t>Source: FactSet</w:t>
                            </w:r>
                          </w:p>
                          <w:p w14:paraId="339C195E" w14:textId="77777777" w:rsidR="009A699B" w:rsidRPr="00201C78" w:rsidRDefault="009A699B" w:rsidP="009A699B">
                            <w:pPr>
                              <w:rPr>
                                <w:i/>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14799" id="Text Box 20" o:spid="_x0000_s1035" type="#_x0000_t202" style="position:absolute;left:0;text-align:left;margin-left:116.85pt;margin-top:172.4pt;width:137.6pt;height:15.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" filled="f" stroked="f">
                <v:textbox>
                  <w:txbxContent>
                    <w:p w14:paraId="1FE51D27" w14:textId="77777777" w:rsidR="009A699B" w:rsidRDefault="009A699B" w:rsidP="009A699B">
                      <w:pPr>
                        <w:rPr>
                          <w:i/>
                          <w:sz w:val="16"/>
                        </w:rPr>
                      </w:pPr>
                      <w:r>
                        <w:rPr>
                          <w:i/>
                          <w:sz w:val="16"/>
                        </w:rPr>
                        <w:t>Source: FactSet</w:t>
                      </w:r>
                    </w:p>
                    <w:p w14:paraId="339C195E" w14:textId="77777777" w:rsidR="009A699B" w:rsidRPr="00201C78" w:rsidRDefault="009A699B" w:rsidP="009A699B">
                      <w:pPr>
                        <w:rPr>
                          <w:i/>
                          <w:sz w:val="16"/>
                        </w:rPr>
                      </w:pPr>
                    </w:p>
                  </w:txbxContent>
                </v:textbox>
                <w10:wrap type="tight"/>
              </v:shape>
            </w:pict>
          </mc:Fallback>
        </mc:AlternateContent>
      </w:r>
      <w:r w:rsidR="00A33AC1">
        <w:rPr>
          <w:noProof/>
          <w:lang w:val="en-US"/>
        </w:rPr>
        <w:drawing>
          <wp:anchor distT="0" distB="0" distL="114300" distR="114300" simplePos="0" relativeHeight="251664384" behindDoc="0" locked="0" layoutInCell="1" allowOverlap="1" wp14:anchorId="1448948F" wp14:editId="50B12ACB">
            <wp:simplePos x="0" y="0"/>
            <wp:positionH relativeFrom="margin">
              <wp:align>right</wp:align>
            </wp:positionH>
            <wp:positionV relativeFrom="paragraph">
              <wp:posOffset>123825</wp:posOffset>
            </wp:positionV>
            <wp:extent cx="3980815" cy="2261870"/>
            <wp:effectExtent l="0" t="0" r="635" b="5080"/>
            <wp:wrapSquare wrapText="bothSides"/>
            <wp:docPr id="9" name="Chart 9">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354C1">
        <w:rPr>
          <w:noProof/>
          <w:lang w:val="en-US"/>
        </w:rPr>
        <mc:AlternateContent>
          <mc:Choice Requires="wps">
            <w:drawing>
              <wp:anchor distT="0" distB="0" distL="114300" distR="114300" simplePos="0" relativeHeight="251663360" behindDoc="0" locked="0" layoutInCell="1" allowOverlap="1" wp14:anchorId="472D7127" wp14:editId="5A334414">
                <wp:simplePos x="0" y="0"/>
                <wp:positionH relativeFrom="column">
                  <wp:posOffset>419735</wp:posOffset>
                </wp:positionH>
                <wp:positionV relativeFrom="paragraph">
                  <wp:posOffset>1139825</wp:posOffset>
                </wp:positionV>
                <wp:extent cx="975360" cy="685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75360" cy="685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16E9B68" w14:textId="4267C8E9" w:rsidR="0052503F" w:rsidRPr="00FB69B4" w:rsidRDefault="0052503F" w:rsidP="0052503F">
                            <w:pPr>
                              <w:jc w:val="center"/>
                              <w:rPr>
                                <w:b/>
                                <w:color w:val="2F5496" w:themeColor="accent5" w:themeShade="BF"/>
                                <w:sz w:val="36"/>
                              </w:rPr>
                            </w:pPr>
                            <w:r w:rsidRPr="00FB69B4">
                              <w:rPr>
                                <w:b/>
                                <w:color w:val="2F5496" w:themeColor="accent5" w:themeShade="BF"/>
                                <w:sz w:val="36"/>
                              </w:rPr>
                              <w:t>95% Owned</w:t>
                            </w:r>
                          </w:p>
                          <w:p w14:paraId="5FF4838E" w14:textId="77777777" w:rsidR="0052503F" w:rsidRPr="00FB69B4" w:rsidRDefault="0052503F">
                            <w:pP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72D7127" id="Text Box 8" o:spid="_x0000_s1036" type="#_x0000_t202" style="position:absolute;left:0;text-align:left;margin-left:33.05pt;margin-top:89.75pt;width:76.8pt;height:54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" filled="f" stroked="f">
                <v:textbox>
                  <w:txbxContent>
                    <w:p w14:paraId="616E9B68" w14:textId="4267C8E9" w:rsidR="0052503F" w:rsidRPr="00FB69B4" w:rsidRDefault="0052503F" w:rsidP="0052503F">
                      <w:pPr>
                        <w:jc w:val="center"/>
                        <w:rPr>
                          <w:b/>
                          <w:color w:val="2F5496" w:themeColor="accent5" w:themeShade="BF"/>
                          <w:sz w:val="36"/>
                        </w:rPr>
                      </w:pPr>
                      <w:r w:rsidRPr="00FB69B4">
                        <w:rPr>
                          <w:b/>
                          <w:color w:val="2F5496" w:themeColor="accent5" w:themeShade="BF"/>
                          <w:sz w:val="36"/>
                        </w:rPr>
                        <w:t>95% Owned</w:t>
                      </w:r>
                    </w:p>
                    <w:p w14:paraId="5FF4838E" w14:textId="77777777" w:rsidR="0052503F" w:rsidRPr="00FB69B4" w:rsidRDefault="0052503F">
                      <w:pPr>
                        <w:rPr>
                          <w:sz w:val="24"/>
                        </w:rPr>
                      </w:pPr>
                    </w:p>
                  </w:txbxContent>
                </v:textbox>
                <w10:wrap type="square"/>
              </v:shape>
            </w:pict>
          </mc:Fallback>
        </mc:AlternateContent>
      </w:r>
    </w:p>
    <w:sectPr w:rsidR="00D13468" w:rsidRPr="00DC138D" w:rsidSect="007E40D9">
      <w:headerReference w:type="default" r:id="rId17"/>
      <w:footerReference w:type="default" r:id="rId18"/>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37CCA" w14:textId="77777777" w:rsidR="00DE4DF3" w:rsidRDefault="00DE4DF3" w:rsidP="00A34EFB">
      <w:pPr>
        <w:spacing w:line="240" w:lineRule="auto"/>
      </w:pPr>
      <w:r>
        <w:separator/>
      </w:r>
    </w:p>
  </w:endnote>
  <w:endnote w:type="continuationSeparator" w:id="0">
    <w:p w14:paraId="7E907BD6" w14:textId="77777777" w:rsidR="00DE4DF3" w:rsidRDefault="00DE4DF3" w:rsidP="00A34EFB">
      <w:pPr>
        <w:spacing w:line="240" w:lineRule="auto"/>
      </w:pPr>
      <w:r>
        <w:continuationSeparator/>
      </w:r>
    </w:p>
  </w:endnote>
  <w:endnote w:type="continuationNotice" w:id="1">
    <w:p w14:paraId="7A0DF8F7" w14:textId="77777777" w:rsidR="00DE4DF3" w:rsidRDefault="00DE4DF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low Solid Italic">
    <w:altName w:val="Calibri"/>
    <w:panose1 w:val="04030604020F02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47D28" w14:textId="42D6B63E" w:rsidR="00FF021F" w:rsidRDefault="4A47D8C0" w:rsidP="4A47D8C0">
    <w:pPr>
      <w:pStyle w:val="Footer"/>
      <w:pBdr>
        <w:top w:val="single" w:sz="24" w:space="1" w:color="FFC000"/>
      </w:pBdr>
      <w:jc w:val="center"/>
      <w:rPr>
        <w:i/>
        <w:iCs/>
        <w:sz w:val="24"/>
        <w:szCs w:val="24"/>
      </w:rPr>
    </w:pPr>
    <w:r w:rsidRPr="4A47D8C0">
      <w:rPr>
        <w:i/>
        <w:iCs/>
        <w:sz w:val="24"/>
        <w:szCs w:val="24"/>
      </w:rPr>
      <w:t>Excellence.  Our Measure.  Our Motto.  Our Goal.</w:t>
    </w:r>
  </w:p>
  <w:p w14:paraId="4F023994" w14:textId="34393445" w:rsidR="00FF021F" w:rsidRPr="00A34EFB" w:rsidRDefault="00FF021F" w:rsidP="4A47D8C0">
    <w:pPr>
      <w:pStyle w:val="Footer"/>
      <w:pBdr>
        <w:top w:val="single" w:sz="24" w:space="1" w:color="FFC000"/>
      </w:pBdr>
      <w:rPr>
        <w:i/>
        <w:iCs/>
        <w:sz w:val="24"/>
        <w:szCs w:val="24"/>
      </w:rPr>
    </w:pPr>
    <w:r>
      <w:rPr>
        <w:i/>
        <w:sz w:val="24"/>
        <w:szCs w:val="24"/>
      </w:rPr>
      <w:tab/>
    </w:r>
    <w:r>
      <w:rPr>
        <w:i/>
        <w:sz w:val="24"/>
        <w:szCs w:val="24"/>
      </w:rPr>
      <w:tab/>
    </w:r>
    <w:r w:rsidRPr="4A47D8C0">
      <w:rPr>
        <w:i/>
        <w:iCs/>
        <w:sz w:val="24"/>
        <w:szCs w:val="24"/>
      </w:rPr>
      <w:t xml:space="preserve"> </w:t>
    </w:r>
    <w:r w:rsidRPr="4A47D8C0">
      <w:rPr>
        <w:i/>
        <w:iCs/>
        <w:color w:val="7F7F7F" w:themeColor="background1" w:themeShade="7F"/>
        <w:spacing w:val="60"/>
        <w:sz w:val="24"/>
        <w:szCs w:val="24"/>
      </w:rPr>
      <w:t>Page</w:t>
    </w:r>
    <w:r w:rsidRPr="4A47D8C0">
      <w:rPr>
        <w:i/>
        <w:iCs/>
        <w:sz w:val="24"/>
        <w:szCs w:val="24"/>
      </w:rPr>
      <w:t xml:space="preserve"> | </w:t>
    </w:r>
    <w:r w:rsidRPr="4A47D8C0">
      <w:rPr>
        <w:b/>
        <w:bCs/>
        <w:i/>
        <w:iCs/>
        <w:noProof/>
        <w:sz w:val="24"/>
        <w:szCs w:val="24"/>
      </w:rPr>
      <w:fldChar w:fldCharType="begin"/>
    </w:r>
    <w:r w:rsidRPr="00A34EFB">
      <w:rPr>
        <w:i/>
        <w:sz w:val="24"/>
        <w:szCs w:val="24"/>
      </w:rPr>
      <w:instrText xml:space="preserve"> PAGE   \* MERGEFORMAT </w:instrText>
    </w:r>
    <w:r w:rsidRPr="4A47D8C0">
      <w:rPr>
        <w:i/>
        <w:sz w:val="24"/>
        <w:szCs w:val="24"/>
      </w:rPr>
      <w:fldChar w:fldCharType="separate"/>
    </w:r>
    <w:r w:rsidR="00A33AC1" w:rsidRPr="00A33AC1">
      <w:rPr>
        <w:b/>
        <w:bCs/>
        <w:i/>
        <w:iCs/>
        <w:noProof/>
        <w:sz w:val="24"/>
        <w:szCs w:val="24"/>
      </w:rPr>
      <w:t>2</w:t>
    </w:r>
    <w:r w:rsidRPr="4A47D8C0">
      <w:rPr>
        <w:b/>
        <w:bCs/>
        <w:i/>
        <w:iCs/>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0154FD" w14:textId="77777777" w:rsidR="00DE4DF3" w:rsidRDefault="00DE4DF3" w:rsidP="00A34EFB">
      <w:pPr>
        <w:spacing w:line="240" w:lineRule="auto"/>
      </w:pPr>
      <w:r>
        <w:separator/>
      </w:r>
    </w:p>
  </w:footnote>
  <w:footnote w:type="continuationSeparator" w:id="0">
    <w:p w14:paraId="2400ABF0" w14:textId="77777777" w:rsidR="00DE4DF3" w:rsidRDefault="00DE4DF3" w:rsidP="00A34EFB">
      <w:pPr>
        <w:spacing w:line="240" w:lineRule="auto"/>
      </w:pPr>
      <w:r>
        <w:continuationSeparator/>
      </w:r>
    </w:p>
  </w:footnote>
  <w:footnote w:type="continuationNotice" w:id="1">
    <w:p w14:paraId="0F8A1144" w14:textId="77777777" w:rsidR="00DE4DF3" w:rsidRDefault="00DE4DF3">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927B2" w14:textId="00BF1BA3" w:rsidR="00FF021F" w:rsidRPr="00CF54C8" w:rsidRDefault="00FF021F" w:rsidP="4A47D8C0">
    <w:pPr>
      <w:pStyle w:val="NormalWeb"/>
      <w:pBdr>
        <w:bottom w:val="thickThinSmallGap" w:sz="24" w:space="1" w:color="FFC000"/>
      </w:pBdr>
      <w:tabs>
        <w:tab w:val="right" w:pos="9360"/>
      </w:tabs>
      <w:spacing w:before="0" w:beforeAutospacing="0" w:after="0" w:afterAutospacing="0"/>
      <w:rPr>
        <w:rFonts w:asciiTheme="minorHAnsi" w:eastAsiaTheme="minorEastAsia" w:hAnsiTheme="minorHAnsi" w:cstheme="minorBidi"/>
        <w:b/>
        <w:bCs/>
        <w:color w:val="1F4E79"/>
      </w:rPr>
    </w:pPr>
    <w:r w:rsidRPr="00CF54C8">
      <w:rPr>
        <w:rFonts w:ascii="Harlow Solid Italic" w:eastAsiaTheme="minorEastAsia" w:hAnsi="Harlow Solid Italic" w:cstheme="minorBidi"/>
        <w:b/>
        <w:noProof/>
        <w:color w:val="1F4E79" w:themeColor="accent1" w:themeShade="80"/>
        <w:kern w:val="24"/>
      </w:rPr>
      <w:drawing>
        <wp:anchor distT="0" distB="0" distL="114300" distR="114300" simplePos="0" relativeHeight="251658240" behindDoc="0" locked="0" layoutInCell="1" allowOverlap="1" wp14:anchorId="7AC9D238" wp14:editId="6079833E">
          <wp:simplePos x="0" y="0"/>
          <wp:positionH relativeFrom="margin">
            <wp:align>right</wp:align>
          </wp:positionH>
          <wp:positionV relativeFrom="paragraph">
            <wp:posOffset>-18415</wp:posOffset>
          </wp:positionV>
          <wp:extent cx="2143125" cy="373383"/>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373383"/>
                  </a:xfrm>
                  <a:prstGeom prst="rect">
                    <a:avLst/>
                  </a:prstGeom>
                  <a:noFill/>
                </pic:spPr>
              </pic:pic>
            </a:graphicData>
          </a:graphic>
          <wp14:sizeRelH relativeFrom="margin">
            <wp14:pctWidth>0</wp14:pctWidth>
          </wp14:sizeRelH>
          <wp14:sizeRelV relativeFrom="margin">
            <wp14:pctHeight>0</wp14:pctHeight>
          </wp14:sizeRelV>
        </wp:anchor>
      </w:drawing>
    </w:r>
    <w:r w:rsidRPr="14FBD679">
      <w:rPr>
        <w:rFonts w:asciiTheme="minorHAnsi" w:eastAsiaTheme="minorEastAsia" w:hAnsiTheme="minorHAnsi" w:cstheme="minorBidi"/>
        <w:b/>
        <w:bCs/>
        <w:color w:val="1F4E79" w:themeColor="accent1" w:themeShade="80"/>
        <w:kern w:val="24"/>
      </w:rPr>
      <w:t xml:space="preserve">UWEC Student Managed Investment Fund </w:t>
    </w:r>
  </w:p>
  <w:p w14:paraId="60000171" w14:textId="24F4AE8D" w:rsidR="00FF021F" w:rsidRPr="00CF54C8" w:rsidRDefault="00FF021F" w:rsidP="4A47D8C0">
    <w:pPr>
      <w:pStyle w:val="NormalWeb"/>
      <w:pBdr>
        <w:bottom w:val="thickThinSmallGap" w:sz="24" w:space="1" w:color="FFC000"/>
      </w:pBdr>
      <w:tabs>
        <w:tab w:val="right" w:pos="9360"/>
      </w:tabs>
      <w:spacing w:before="0" w:beforeAutospacing="0" w:after="0" w:afterAutospacing="0"/>
      <w:rPr>
        <w:rFonts w:asciiTheme="minorHAnsi" w:hAnsiTheme="minorHAnsi" w:cstheme="minorBidi"/>
        <w:b/>
        <w:bCs/>
        <w:color w:val="1F4E79"/>
      </w:rPr>
    </w:pPr>
    <w:r w:rsidRPr="4A47D8C0">
      <w:rPr>
        <w:rFonts w:asciiTheme="minorHAnsi" w:eastAsiaTheme="minorEastAsia" w:hAnsiTheme="minorHAnsi" w:cstheme="minorBidi"/>
        <w:b/>
        <w:bCs/>
        <w:color w:val="1F4E79" w:themeColor="accent1" w:themeShade="80"/>
        <w:kern w:val="24"/>
      </w:rPr>
      <w:t>Fall 2018</w:t>
    </w:r>
  </w:p>
  <w:p w14:paraId="7690A540" w14:textId="2DFA91FB" w:rsidR="00FF021F" w:rsidRDefault="00FF021F" w:rsidP="00475F7E">
    <w:pPr>
      <w:pStyle w:val="NormalWeb"/>
      <w:spacing w:before="0" w:beforeAutospacing="0" w:after="0" w:afterAutospacing="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5147C"/>
    <w:multiLevelType w:val="hybridMultilevel"/>
    <w:tmpl w:val="F6EA1D4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D9108C"/>
    <w:multiLevelType w:val="hybridMultilevel"/>
    <w:tmpl w:val="EFB0ED78"/>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3225055E"/>
    <w:multiLevelType w:val="hybridMultilevel"/>
    <w:tmpl w:val="1F207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B17487"/>
    <w:multiLevelType w:val="hybridMultilevel"/>
    <w:tmpl w:val="63868A3E"/>
    <w:lvl w:ilvl="0" w:tplc="053C2780">
      <w:start w:val="1"/>
      <w:numFmt w:val="bullet"/>
      <w:lvlText w:val=""/>
      <w:lvlJc w:val="left"/>
      <w:pPr>
        <w:ind w:left="43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44CC0"/>
    <w:multiLevelType w:val="hybridMultilevel"/>
    <w:tmpl w:val="2D36D85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66DC5D64"/>
    <w:multiLevelType w:val="hybridMultilevel"/>
    <w:tmpl w:val="25E66AD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6" w15:restartNumberingAfterBreak="0">
    <w:nsid w:val="67E50BB5"/>
    <w:multiLevelType w:val="hybridMultilevel"/>
    <w:tmpl w:val="1C460914"/>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7" w15:restartNumberingAfterBreak="0">
    <w:nsid w:val="705A7560"/>
    <w:multiLevelType w:val="hybridMultilevel"/>
    <w:tmpl w:val="69AED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
  </w:num>
  <w:num w:numId="4">
    <w:abstractNumId w:val="6"/>
  </w:num>
  <w:num w:numId="5">
    <w:abstractNumId w:val="4"/>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A34EFB"/>
    <w:rsid w:val="000125A6"/>
    <w:rsid w:val="000169B1"/>
    <w:rsid w:val="000326E6"/>
    <w:rsid w:val="000552C9"/>
    <w:rsid w:val="000805A4"/>
    <w:rsid w:val="000915C6"/>
    <w:rsid w:val="0009473A"/>
    <w:rsid w:val="0009544A"/>
    <w:rsid w:val="000B09C8"/>
    <w:rsid w:val="000D7221"/>
    <w:rsid w:val="000E7CE1"/>
    <w:rsid w:val="00114EF8"/>
    <w:rsid w:val="00153E12"/>
    <w:rsid w:val="00164EB7"/>
    <w:rsid w:val="001733F7"/>
    <w:rsid w:val="00183E3F"/>
    <w:rsid w:val="00190340"/>
    <w:rsid w:val="00196952"/>
    <w:rsid w:val="001A07F3"/>
    <w:rsid w:val="001A40BE"/>
    <w:rsid w:val="001A6702"/>
    <w:rsid w:val="001B0006"/>
    <w:rsid w:val="001E3816"/>
    <w:rsid w:val="001E3F3A"/>
    <w:rsid w:val="001E43D5"/>
    <w:rsid w:val="001E5F6A"/>
    <w:rsid w:val="001E6D66"/>
    <w:rsid w:val="00201C78"/>
    <w:rsid w:val="00211D88"/>
    <w:rsid w:val="00213C7A"/>
    <w:rsid w:val="00222783"/>
    <w:rsid w:val="00244A7F"/>
    <w:rsid w:val="0024675E"/>
    <w:rsid w:val="00273F0F"/>
    <w:rsid w:val="00276D1C"/>
    <w:rsid w:val="0027795D"/>
    <w:rsid w:val="002C7C14"/>
    <w:rsid w:val="002E3BEA"/>
    <w:rsid w:val="002F17C8"/>
    <w:rsid w:val="002F6844"/>
    <w:rsid w:val="003040A5"/>
    <w:rsid w:val="0032407F"/>
    <w:rsid w:val="0033087B"/>
    <w:rsid w:val="00352353"/>
    <w:rsid w:val="00374713"/>
    <w:rsid w:val="00382C37"/>
    <w:rsid w:val="003862A1"/>
    <w:rsid w:val="003A1CF4"/>
    <w:rsid w:val="003A4840"/>
    <w:rsid w:val="003A5A87"/>
    <w:rsid w:val="003C071E"/>
    <w:rsid w:val="003C1B40"/>
    <w:rsid w:val="003C200F"/>
    <w:rsid w:val="003C41B0"/>
    <w:rsid w:val="003D795B"/>
    <w:rsid w:val="0040689D"/>
    <w:rsid w:val="0043128C"/>
    <w:rsid w:val="00453378"/>
    <w:rsid w:val="004563D4"/>
    <w:rsid w:val="00475F7E"/>
    <w:rsid w:val="00490F53"/>
    <w:rsid w:val="00493469"/>
    <w:rsid w:val="004A2D70"/>
    <w:rsid w:val="004A5A51"/>
    <w:rsid w:val="004E0D4A"/>
    <w:rsid w:val="004E288A"/>
    <w:rsid w:val="004E4762"/>
    <w:rsid w:val="00500AAD"/>
    <w:rsid w:val="00521A2A"/>
    <w:rsid w:val="0052503F"/>
    <w:rsid w:val="005309C5"/>
    <w:rsid w:val="005314F5"/>
    <w:rsid w:val="005354C1"/>
    <w:rsid w:val="00536DAB"/>
    <w:rsid w:val="00551502"/>
    <w:rsid w:val="00556C10"/>
    <w:rsid w:val="00560746"/>
    <w:rsid w:val="00581B8A"/>
    <w:rsid w:val="005865A4"/>
    <w:rsid w:val="00594DD0"/>
    <w:rsid w:val="005C7165"/>
    <w:rsid w:val="005C7C13"/>
    <w:rsid w:val="005D3C83"/>
    <w:rsid w:val="005D5118"/>
    <w:rsid w:val="005D57FD"/>
    <w:rsid w:val="005E646E"/>
    <w:rsid w:val="005F5EC5"/>
    <w:rsid w:val="006004D0"/>
    <w:rsid w:val="00620585"/>
    <w:rsid w:val="00627432"/>
    <w:rsid w:val="00633F6B"/>
    <w:rsid w:val="00642D28"/>
    <w:rsid w:val="00643A9D"/>
    <w:rsid w:val="00673696"/>
    <w:rsid w:val="006747C0"/>
    <w:rsid w:val="006B0228"/>
    <w:rsid w:val="006C51C0"/>
    <w:rsid w:val="006D19FA"/>
    <w:rsid w:val="006E2D51"/>
    <w:rsid w:val="0070124B"/>
    <w:rsid w:val="00721111"/>
    <w:rsid w:val="0072395F"/>
    <w:rsid w:val="00727822"/>
    <w:rsid w:val="007303D9"/>
    <w:rsid w:val="00732487"/>
    <w:rsid w:val="00760499"/>
    <w:rsid w:val="00764668"/>
    <w:rsid w:val="007710E4"/>
    <w:rsid w:val="00781087"/>
    <w:rsid w:val="007A2BAF"/>
    <w:rsid w:val="007B516E"/>
    <w:rsid w:val="007E1A8B"/>
    <w:rsid w:val="007E40D9"/>
    <w:rsid w:val="0081690A"/>
    <w:rsid w:val="008451C6"/>
    <w:rsid w:val="00846A1F"/>
    <w:rsid w:val="00857CF8"/>
    <w:rsid w:val="00873F82"/>
    <w:rsid w:val="00883B13"/>
    <w:rsid w:val="008850CC"/>
    <w:rsid w:val="008C1300"/>
    <w:rsid w:val="008D450E"/>
    <w:rsid w:val="008F7219"/>
    <w:rsid w:val="0091122C"/>
    <w:rsid w:val="00912BDA"/>
    <w:rsid w:val="00921A50"/>
    <w:rsid w:val="009258EB"/>
    <w:rsid w:val="009345DA"/>
    <w:rsid w:val="00935FA2"/>
    <w:rsid w:val="0094199B"/>
    <w:rsid w:val="00943162"/>
    <w:rsid w:val="009800B0"/>
    <w:rsid w:val="009878D3"/>
    <w:rsid w:val="00992F91"/>
    <w:rsid w:val="009954E4"/>
    <w:rsid w:val="00996BD8"/>
    <w:rsid w:val="009A699B"/>
    <w:rsid w:val="009C40E8"/>
    <w:rsid w:val="009C77A5"/>
    <w:rsid w:val="009F4C9D"/>
    <w:rsid w:val="009F50BC"/>
    <w:rsid w:val="00A04242"/>
    <w:rsid w:val="00A05949"/>
    <w:rsid w:val="00A124E8"/>
    <w:rsid w:val="00A23DF0"/>
    <w:rsid w:val="00A260B4"/>
    <w:rsid w:val="00A26A0F"/>
    <w:rsid w:val="00A33AC1"/>
    <w:rsid w:val="00A34EFB"/>
    <w:rsid w:val="00A468B5"/>
    <w:rsid w:val="00A46E0B"/>
    <w:rsid w:val="00A50DE9"/>
    <w:rsid w:val="00A63682"/>
    <w:rsid w:val="00A91588"/>
    <w:rsid w:val="00A921F7"/>
    <w:rsid w:val="00AA390A"/>
    <w:rsid w:val="00AB0D56"/>
    <w:rsid w:val="00AB341C"/>
    <w:rsid w:val="00AC16D4"/>
    <w:rsid w:val="00AD7CF8"/>
    <w:rsid w:val="00AE78F6"/>
    <w:rsid w:val="00AF437C"/>
    <w:rsid w:val="00AF46C4"/>
    <w:rsid w:val="00B036C3"/>
    <w:rsid w:val="00B1481A"/>
    <w:rsid w:val="00B215A9"/>
    <w:rsid w:val="00B27054"/>
    <w:rsid w:val="00B61DFA"/>
    <w:rsid w:val="00B7665C"/>
    <w:rsid w:val="00B81D97"/>
    <w:rsid w:val="00BA3772"/>
    <w:rsid w:val="00BA4897"/>
    <w:rsid w:val="00BB1719"/>
    <w:rsid w:val="00BB29C8"/>
    <w:rsid w:val="00BC4C37"/>
    <w:rsid w:val="00BE4AA1"/>
    <w:rsid w:val="00BE64B7"/>
    <w:rsid w:val="00BF1236"/>
    <w:rsid w:val="00C14D99"/>
    <w:rsid w:val="00C17533"/>
    <w:rsid w:val="00C24F73"/>
    <w:rsid w:val="00C43C74"/>
    <w:rsid w:val="00C6101A"/>
    <w:rsid w:val="00C66FF0"/>
    <w:rsid w:val="00C7550F"/>
    <w:rsid w:val="00C77984"/>
    <w:rsid w:val="00C873DA"/>
    <w:rsid w:val="00C95721"/>
    <w:rsid w:val="00CA1478"/>
    <w:rsid w:val="00CA1C0B"/>
    <w:rsid w:val="00CA4498"/>
    <w:rsid w:val="00CB1F94"/>
    <w:rsid w:val="00CC1E37"/>
    <w:rsid w:val="00CC54DA"/>
    <w:rsid w:val="00CD4238"/>
    <w:rsid w:val="00CD4643"/>
    <w:rsid w:val="00CD52FD"/>
    <w:rsid w:val="00CF4325"/>
    <w:rsid w:val="00CF4F06"/>
    <w:rsid w:val="00CF54C8"/>
    <w:rsid w:val="00D05271"/>
    <w:rsid w:val="00D13468"/>
    <w:rsid w:val="00D22076"/>
    <w:rsid w:val="00D40E9E"/>
    <w:rsid w:val="00D53B9A"/>
    <w:rsid w:val="00D54A4C"/>
    <w:rsid w:val="00D67FF9"/>
    <w:rsid w:val="00D7405C"/>
    <w:rsid w:val="00DA108E"/>
    <w:rsid w:val="00DA31C0"/>
    <w:rsid w:val="00DA6830"/>
    <w:rsid w:val="00DC138D"/>
    <w:rsid w:val="00DE1EDF"/>
    <w:rsid w:val="00DE4DF3"/>
    <w:rsid w:val="00E07AF2"/>
    <w:rsid w:val="00E13332"/>
    <w:rsid w:val="00E153BA"/>
    <w:rsid w:val="00E201E5"/>
    <w:rsid w:val="00E40504"/>
    <w:rsid w:val="00E52AF0"/>
    <w:rsid w:val="00E75C02"/>
    <w:rsid w:val="00E94474"/>
    <w:rsid w:val="00EC38E5"/>
    <w:rsid w:val="00ED69BF"/>
    <w:rsid w:val="00EF74A4"/>
    <w:rsid w:val="00F0507B"/>
    <w:rsid w:val="00F20840"/>
    <w:rsid w:val="00F33488"/>
    <w:rsid w:val="00F75534"/>
    <w:rsid w:val="00F86249"/>
    <w:rsid w:val="00F92F1C"/>
    <w:rsid w:val="00F97A32"/>
    <w:rsid w:val="00F97A5C"/>
    <w:rsid w:val="00FA3A4C"/>
    <w:rsid w:val="00FA547E"/>
    <w:rsid w:val="00FB69B4"/>
    <w:rsid w:val="00FC18FB"/>
    <w:rsid w:val="00FD273F"/>
    <w:rsid w:val="00FD53A8"/>
    <w:rsid w:val="00FD6B35"/>
    <w:rsid w:val="00FE127A"/>
    <w:rsid w:val="00FF021F"/>
    <w:rsid w:val="021A7FEA"/>
    <w:rsid w:val="14FBD679"/>
    <w:rsid w:val="3B45A482"/>
    <w:rsid w:val="4A47D8C0"/>
    <w:rsid w:val="7E909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58A75"/>
  <w15:chartTrackingRefBased/>
  <w15:docId w15:val="{3EC90760-8CFE-4EDE-AB19-41270DD9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63D4"/>
    <w:pPr>
      <w:spacing w:after="0" w:line="276" w:lineRule="auto"/>
      <w:contextualSpacing/>
    </w:pPr>
    <w:rPr>
      <w:rFonts w:ascii="Arial" w:eastAsia="Arial" w:hAnsi="Arial" w:cs="Arial"/>
      <w:lang w:val="en"/>
    </w:rPr>
  </w:style>
  <w:style w:type="paragraph" w:styleId="Heading2">
    <w:name w:val="heading 2"/>
    <w:basedOn w:val="Normal"/>
    <w:next w:val="Normal"/>
    <w:link w:val="Heading2Char"/>
    <w:uiPriority w:val="9"/>
    <w:unhideWhenUsed/>
    <w:qFormat/>
    <w:rsid w:val="004563D4"/>
    <w:pPr>
      <w:keepNext/>
      <w:keepLines/>
      <w:spacing w:before="360" w:after="120"/>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EFB"/>
    <w:pPr>
      <w:tabs>
        <w:tab w:val="center" w:pos="4680"/>
        <w:tab w:val="right" w:pos="9360"/>
      </w:tabs>
      <w:spacing w:line="240" w:lineRule="auto"/>
      <w:contextualSpacing w:val="0"/>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34EFB"/>
  </w:style>
  <w:style w:type="paragraph" w:styleId="Footer">
    <w:name w:val="footer"/>
    <w:basedOn w:val="Normal"/>
    <w:link w:val="FooterChar"/>
    <w:uiPriority w:val="99"/>
    <w:unhideWhenUsed/>
    <w:rsid w:val="00A34EFB"/>
    <w:pPr>
      <w:tabs>
        <w:tab w:val="center" w:pos="4680"/>
        <w:tab w:val="right" w:pos="9360"/>
      </w:tabs>
      <w:spacing w:line="240" w:lineRule="auto"/>
      <w:contextualSpacing w:val="0"/>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34EFB"/>
  </w:style>
  <w:style w:type="paragraph" w:styleId="NormalWeb">
    <w:name w:val="Normal (Web)"/>
    <w:basedOn w:val="Normal"/>
    <w:uiPriority w:val="99"/>
    <w:semiHidden/>
    <w:unhideWhenUsed/>
    <w:rsid w:val="00475F7E"/>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uiPriority w:val="9"/>
    <w:rsid w:val="004563D4"/>
    <w:rPr>
      <w:rFonts w:ascii="Arial" w:eastAsia="Arial" w:hAnsi="Arial" w:cs="Arial"/>
      <w:sz w:val="32"/>
      <w:szCs w:val="32"/>
      <w:lang w:val="en"/>
    </w:rPr>
  </w:style>
  <w:style w:type="paragraph" w:styleId="ListParagraph">
    <w:name w:val="List Paragraph"/>
    <w:basedOn w:val="Normal"/>
    <w:uiPriority w:val="34"/>
    <w:qFormat/>
    <w:rsid w:val="004563D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54845">
      <w:bodyDiv w:val="1"/>
      <w:marLeft w:val="0"/>
      <w:marRight w:val="0"/>
      <w:marTop w:val="0"/>
      <w:marBottom w:val="0"/>
      <w:divBdr>
        <w:top w:val="none" w:sz="0" w:space="0" w:color="auto"/>
        <w:left w:val="none" w:sz="0" w:space="0" w:color="auto"/>
        <w:bottom w:val="none" w:sz="0" w:space="0" w:color="auto"/>
        <w:right w:val="none" w:sz="0" w:space="0" w:color="auto"/>
      </w:divBdr>
    </w:div>
    <w:div w:id="675156750">
      <w:bodyDiv w:val="1"/>
      <w:marLeft w:val="0"/>
      <w:marRight w:val="0"/>
      <w:marTop w:val="0"/>
      <w:marBottom w:val="0"/>
      <w:divBdr>
        <w:top w:val="none" w:sz="0" w:space="0" w:color="auto"/>
        <w:left w:val="none" w:sz="0" w:space="0" w:color="auto"/>
        <w:bottom w:val="none" w:sz="0" w:space="0" w:color="auto"/>
        <w:right w:val="none" w:sz="0" w:space="0" w:color="auto"/>
      </w:divBdr>
    </w:div>
    <w:div w:id="978219154">
      <w:bodyDiv w:val="1"/>
      <w:marLeft w:val="0"/>
      <w:marRight w:val="0"/>
      <w:marTop w:val="0"/>
      <w:marBottom w:val="0"/>
      <w:divBdr>
        <w:top w:val="none" w:sz="0" w:space="0" w:color="auto"/>
        <w:left w:val="none" w:sz="0" w:space="0" w:color="auto"/>
        <w:bottom w:val="none" w:sz="0" w:space="0" w:color="auto"/>
        <w:right w:val="none" w:sz="0" w:space="0" w:color="auto"/>
      </w:divBdr>
    </w:div>
    <w:div w:id="1178428229">
      <w:bodyDiv w:val="1"/>
      <w:marLeft w:val="0"/>
      <w:marRight w:val="0"/>
      <w:marTop w:val="0"/>
      <w:marBottom w:val="0"/>
      <w:divBdr>
        <w:top w:val="none" w:sz="0" w:space="0" w:color="auto"/>
        <w:left w:val="none" w:sz="0" w:space="0" w:color="auto"/>
        <w:bottom w:val="none" w:sz="0" w:space="0" w:color="auto"/>
        <w:right w:val="none" w:sz="0" w:space="0" w:color="auto"/>
      </w:divBdr>
    </w:div>
    <w:div w:id="1303539571">
      <w:bodyDiv w:val="1"/>
      <w:marLeft w:val="0"/>
      <w:marRight w:val="0"/>
      <w:marTop w:val="0"/>
      <w:marBottom w:val="0"/>
      <w:divBdr>
        <w:top w:val="none" w:sz="0" w:space="0" w:color="auto"/>
        <w:left w:val="none" w:sz="0" w:space="0" w:color="auto"/>
        <w:bottom w:val="none" w:sz="0" w:space="0" w:color="auto"/>
        <w:right w:val="none" w:sz="0" w:space="0" w:color="auto"/>
      </w:divBdr>
    </w:div>
    <w:div w:id="1520701059">
      <w:bodyDiv w:val="1"/>
      <w:marLeft w:val="0"/>
      <w:marRight w:val="0"/>
      <w:marTop w:val="0"/>
      <w:marBottom w:val="0"/>
      <w:divBdr>
        <w:top w:val="none" w:sz="0" w:space="0" w:color="auto"/>
        <w:left w:val="none" w:sz="0" w:space="0" w:color="auto"/>
        <w:bottom w:val="none" w:sz="0" w:space="0" w:color="auto"/>
        <w:right w:val="none" w:sz="0" w:space="0" w:color="auto"/>
      </w:divBdr>
    </w:div>
    <w:div w:id="1541746366">
      <w:bodyDiv w:val="1"/>
      <w:marLeft w:val="0"/>
      <w:marRight w:val="0"/>
      <w:marTop w:val="0"/>
      <w:marBottom w:val="0"/>
      <w:divBdr>
        <w:top w:val="none" w:sz="0" w:space="0" w:color="auto"/>
        <w:left w:val="none" w:sz="0" w:space="0" w:color="auto"/>
        <w:bottom w:val="none" w:sz="0" w:space="0" w:color="auto"/>
        <w:right w:val="none" w:sz="0" w:space="0" w:color="auto"/>
      </w:divBdr>
    </w:div>
    <w:div w:id="2128501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4.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chart" Target="charts/chart5.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https://universityofwieauclaire-my.sharepoint.com/personal/herreroj3656_uwec_edu/Documents/FIN%20339/Stock%20Pitch/Constellation%20Brands.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1" i="0" u="none" strike="noStrike" kern="1200" spc="100" baseline="0">
                <a:solidFill>
                  <a:schemeClr val="accent5">
                    <a:lumMod val="75000"/>
                  </a:schemeClr>
                </a:solidFill>
                <a:effectLst>
                  <a:outerShdw blurRad="50800" dist="38100" dir="5400000" algn="t" rotWithShape="0">
                    <a:prstClr val="black">
                      <a:alpha val="40000"/>
                    </a:prstClr>
                  </a:outerShdw>
                </a:effectLst>
                <a:latin typeface="+mn-lt"/>
                <a:ea typeface="+mn-ea"/>
                <a:cs typeface="+mn-cs"/>
              </a:defRPr>
            </a:pPr>
            <a:r>
              <a:rPr lang="en-US" sz="1100">
                <a:solidFill>
                  <a:schemeClr val="accent5">
                    <a:lumMod val="75000"/>
                  </a:schemeClr>
                </a:solidFill>
              </a:rPr>
              <a:t>Net Income</a:t>
            </a:r>
          </a:p>
        </c:rich>
      </c:tx>
      <c:overlay val="0"/>
      <c:spPr>
        <a:noFill/>
        <a:ln>
          <a:noFill/>
        </a:ln>
        <a:effectLst/>
      </c:spPr>
      <c:txPr>
        <a:bodyPr rot="0" spcFirstLastPara="1" vertOverflow="ellipsis" vert="horz" wrap="square" anchor="ctr" anchorCtr="1"/>
        <a:lstStyle/>
        <a:p>
          <a:pPr>
            <a:defRPr sz="1100" b="1" i="0" u="none" strike="noStrike" kern="1200" spc="100" baseline="0">
              <a:solidFill>
                <a:schemeClr val="accent5">
                  <a:lumMod val="7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0.27491283849479298"/>
          <c:y val="0.153968253968254"/>
          <c:w val="0.68773420135142005"/>
          <c:h val="0.63256763957136897"/>
        </c:manualLayout>
      </c:layout>
      <c:barChart>
        <c:barDir val="col"/>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numRef>
              <c:f>'5 Year Segments'!$A$18:$A$22</c:f>
              <c:numCache>
                <c:formatCode>General</c:formatCode>
                <c:ptCount val="5"/>
                <c:pt idx="0">
                  <c:v>2014</c:v>
                </c:pt>
                <c:pt idx="1">
                  <c:v>2015</c:v>
                </c:pt>
                <c:pt idx="2">
                  <c:v>2016</c:v>
                </c:pt>
                <c:pt idx="3">
                  <c:v>2017</c:v>
                </c:pt>
                <c:pt idx="4">
                  <c:v>2018</c:v>
                </c:pt>
              </c:numCache>
            </c:numRef>
          </c:cat>
          <c:val>
            <c:numRef>
              <c:f>'5 Year Segments'!$B$18:$B$22</c:f>
              <c:numCache>
                <c:formatCode>General</c:formatCode>
                <c:ptCount val="5"/>
                <c:pt idx="0">
                  <c:v>643</c:v>
                </c:pt>
                <c:pt idx="1">
                  <c:v>839</c:v>
                </c:pt>
                <c:pt idx="2">
                  <c:v>1055</c:v>
                </c:pt>
                <c:pt idx="3">
                  <c:v>1535</c:v>
                </c:pt>
                <c:pt idx="4">
                  <c:v>2319</c:v>
                </c:pt>
              </c:numCache>
            </c:numRef>
          </c:val>
          <c:extLst>
            <c:ext xmlns:c16="http://schemas.microsoft.com/office/drawing/2014/chart" uri="{C3380CC4-5D6E-409C-BE32-E72D297353CC}">
              <c16:uniqueId val="{00000000-D84C-4814-BCDA-DF1130F79020}"/>
            </c:ext>
          </c:extLst>
        </c:ser>
        <c:dLbls>
          <c:showLegendKey val="0"/>
          <c:showVal val="0"/>
          <c:showCatName val="0"/>
          <c:showSerName val="0"/>
          <c:showPercent val="0"/>
          <c:showBubbleSize val="0"/>
        </c:dLbls>
        <c:gapWidth val="100"/>
        <c:overlap val="-24"/>
        <c:axId val="397784160"/>
        <c:axId val="397788672"/>
      </c:barChart>
      <c:catAx>
        <c:axId val="397784160"/>
        <c:scaling>
          <c:orientation val="minMax"/>
        </c:scaling>
        <c:delete val="0"/>
        <c:axPos val="b"/>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000" b="0" i="0" u="none" strike="noStrike" kern="1200" baseline="0">
                <a:solidFill>
                  <a:schemeClr val="accent5">
                    <a:lumMod val="75000"/>
                  </a:schemeClr>
                </a:solidFill>
                <a:latin typeface="+mn-lt"/>
                <a:ea typeface="+mn-ea"/>
                <a:cs typeface="+mn-cs"/>
              </a:defRPr>
            </a:pPr>
            <a:endParaRPr lang="en-US"/>
          </a:p>
        </c:txPr>
        <c:crossAx val="397788672"/>
        <c:crosses val="autoZero"/>
        <c:auto val="1"/>
        <c:lblAlgn val="ctr"/>
        <c:lblOffset val="100"/>
        <c:tickLblSkip val="2"/>
        <c:tickMarkSkip val="1"/>
        <c:noMultiLvlLbl val="0"/>
      </c:catAx>
      <c:valAx>
        <c:axId val="397788672"/>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accent5">
                    <a:lumMod val="75000"/>
                  </a:schemeClr>
                </a:solidFill>
                <a:latin typeface="+mn-lt"/>
                <a:ea typeface="+mn-ea"/>
                <a:cs typeface="+mn-cs"/>
              </a:defRPr>
            </a:pPr>
            <a:endParaRPr lang="en-US"/>
          </a:p>
        </c:txPr>
        <c:crossAx val="397784160"/>
        <c:crosses val="autoZero"/>
        <c:crossBetween val="between"/>
      </c:valAx>
      <c:spPr>
        <a:noFill/>
        <a:ln>
          <a:noFill/>
        </a:ln>
        <a:effectLst/>
      </c:spPr>
    </c:plotArea>
    <c:plotVisOnly val="1"/>
    <c:dispBlanksAs val="gap"/>
    <c:showDLblsOverMax val="0"/>
  </c:chart>
  <c:spPr>
    <a:solidFill>
      <a:schemeClr val="bg1"/>
    </a:solidFill>
    <a:ln>
      <a:noFill/>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22051357719978401"/>
          <c:y val="2.1834061135371199E-2"/>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accent5">
                  <a:lumMod val="75000"/>
                </a:schemeClr>
              </a:solidFill>
              <a:latin typeface="+mn-lt"/>
              <a:ea typeface="+mn-ea"/>
              <a:cs typeface="+mn-cs"/>
            </a:defRPr>
          </a:pPr>
          <a:endParaRPr lang="en-US"/>
        </a:p>
      </c:txPr>
    </c:title>
    <c:autoTitleDeleted val="0"/>
    <c:plotArea>
      <c:layout>
        <c:manualLayout>
          <c:layoutTarget val="inner"/>
          <c:xMode val="edge"/>
          <c:yMode val="edge"/>
          <c:x val="3.6110924805608798E-2"/>
          <c:y val="0.149326639846875"/>
          <c:w val="0.92777777777777803"/>
          <c:h val="0.67743839311752696"/>
        </c:manualLayout>
      </c:layout>
      <c:barChart>
        <c:barDir val="col"/>
        <c:grouping val="clustered"/>
        <c:varyColors val="1"/>
        <c:ser>
          <c:idx val="0"/>
          <c:order val="0"/>
          <c:tx>
            <c:strRef>
              <c:f>'Per Share'!$E$28</c:f>
              <c:strCache>
                <c:ptCount val="1"/>
                <c:pt idx="0">
                  <c:v>EPS (Recurring)</c:v>
                </c:pt>
              </c:strCache>
            </c:strRef>
          </c:tx>
          <c:invertIfNegative val="0"/>
          <c:dPt>
            <c:idx val="0"/>
            <c:invertIfNegative val="0"/>
            <c:bubble3D val="0"/>
            <c:spPr>
              <a:solidFill>
                <a:schemeClr val="accent1">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1-E3A0-48C2-B2E3-D5E105E83DBA}"/>
              </c:ext>
            </c:extLst>
          </c:dPt>
          <c:dPt>
            <c:idx val="1"/>
            <c:invertIfNegative val="0"/>
            <c:bubble3D val="0"/>
            <c:spPr>
              <a:solidFill>
                <a:schemeClr val="accent3">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3-E3A0-48C2-B2E3-D5E105E83DBA}"/>
              </c:ext>
            </c:extLst>
          </c:dPt>
          <c:dPt>
            <c:idx val="2"/>
            <c:invertIfNegative val="0"/>
            <c:bubble3D val="0"/>
            <c:spPr>
              <a:solidFill>
                <a:schemeClr val="accent5">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5-E3A0-48C2-B2E3-D5E105E83DBA}"/>
              </c:ext>
            </c:extLst>
          </c:dPt>
          <c:dPt>
            <c:idx val="3"/>
            <c:invertIfNegative val="0"/>
            <c:bubble3D val="0"/>
            <c:spPr>
              <a:solidFill>
                <a:schemeClr val="accent1">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7-E3A0-48C2-B2E3-D5E105E83DBA}"/>
              </c:ext>
            </c:extLst>
          </c:dPt>
          <c:dPt>
            <c:idx val="4"/>
            <c:invertIfNegative val="0"/>
            <c:bubble3D val="0"/>
            <c:spPr>
              <a:solidFill>
                <a:schemeClr val="accent3">
                  <a:lumMod val="60000"/>
                  <a:alpha val="85000"/>
                </a:schemeClr>
              </a:solidFill>
              <a:ln w="9525" cap="flat" cmpd="sng" algn="ctr">
                <a:solidFill>
                  <a:schemeClr val="lt1">
                    <a:alpha val="50000"/>
                  </a:schemeClr>
                </a:solidFill>
                <a:round/>
              </a:ln>
              <a:effectLst/>
            </c:spPr>
            <c:extLst>
              <c:ext xmlns:c16="http://schemas.microsoft.com/office/drawing/2014/chart" uri="{C3380CC4-5D6E-409C-BE32-E72D297353CC}">
                <c16:uniqueId val="{00000009-E3A0-48C2-B2E3-D5E105E83DBA}"/>
              </c:ext>
            </c:extLst>
          </c:dPt>
          <c:dLbls>
            <c:spPr>
              <a:noFill/>
              <a:ln>
                <a:noFill/>
              </a:ln>
              <a:effectLst/>
            </c:spPr>
            <c:txPr>
              <a:bodyPr rot="0" spcFirstLastPara="1" vertOverflow="ellipsis" vert="horz" wrap="square" lIns="38100" tIns="19050" rIns="38100" bIns="19050" anchor="ctr" anchorCtr="1">
                <a:spAutoFit/>
              </a:bodyPr>
              <a:lstStyle/>
              <a:p>
                <a:pPr>
                  <a:defRPr sz="95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'Per Share'!$D$29:$D$33</c:f>
              <c:numCache>
                <c:formatCode>General</c:formatCode>
                <c:ptCount val="5"/>
                <c:pt idx="0">
                  <c:v>2014</c:v>
                </c:pt>
                <c:pt idx="1">
                  <c:v>2015</c:v>
                </c:pt>
                <c:pt idx="2">
                  <c:v>2016</c:v>
                </c:pt>
                <c:pt idx="3">
                  <c:v>2017</c:v>
                </c:pt>
                <c:pt idx="4">
                  <c:v>2018</c:v>
                </c:pt>
              </c:numCache>
            </c:numRef>
          </c:cat>
          <c:val>
            <c:numRef>
              <c:f>'Per Share'!$E$29:$E$33</c:f>
              <c:numCache>
                <c:formatCode>General</c:formatCode>
                <c:ptCount val="5"/>
                <c:pt idx="0">
                  <c:v>4.8099999999999996</c:v>
                </c:pt>
                <c:pt idx="1">
                  <c:v>4.07</c:v>
                </c:pt>
                <c:pt idx="2">
                  <c:v>5.17</c:v>
                </c:pt>
                <c:pt idx="3">
                  <c:v>7.1499999999999986</c:v>
                </c:pt>
                <c:pt idx="4">
                  <c:v>12.47</c:v>
                </c:pt>
              </c:numCache>
            </c:numRef>
          </c:val>
          <c:extLst>
            <c:ext xmlns:c16="http://schemas.microsoft.com/office/drawing/2014/chart" uri="{C3380CC4-5D6E-409C-BE32-E72D297353CC}">
              <c16:uniqueId val="{0000000A-E3A0-48C2-B2E3-D5E105E83DBA}"/>
            </c:ext>
          </c:extLst>
        </c:ser>
        <c:dLbls>
          <c:dLblPos val="inEnd"/>
          <c:showLegendKey val="0"/>
          <c:showVal val="1"/>
          <c:showCatName val="0"/>
          <c:showSerName val="0"/>
          <c:showPercent val="0"/>
          <c:showBubbleSize val="0"/>
        </c:dLbls>
        <c:gapWidth val="30"/>
        <c:axId val="397945216"/>
        <c:axId val="397950000"/>
      </c:barChart>
      <c:catAx>
        <c:axId val="397945216"/>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n-US"/>
          </a:p>
        </c:txPr>
        <c:crossAx val="397950000"/>
        <c:crosses val="autoZero"/>
        <c:auto val="1"/>
        <c:lblAlgn val="ctr"/>
        <c:lblOffset val="100"/>
        <c:noMultiLvlLbl val="0"/>
      </c:catAx>
      <c:valAx>
        <c:axId val="397950000"/>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0"/>
        <c:majorTickMark val="none"/>
        <c:minorTickMark val="none"/>
        <c:tickLblPos val="nextTo"/>
        <c:crossAx val="39794521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r>
              <a:rPr lang="is-IS"/>
              <a:t>2018 FY Quarterly Revenue</a:t>
            </a:r>
          </a:p>
        </c:rich>
      </c:tx>
      <c:overlay val="0"/>
      <c:spPr>
        <a:noFill/>
        <a:ln>
          <a:noFill/>
        </a:ln>
        <a:effectLst/>
      </c:spPr>
      <c:txPr>
        <a:bodyPr rot="0" spcFirstLastPara="1" vertOverflow="ellipsis" vert="horz" wrap="square" anchor="ctr" anchorCtr="1"/>
        <a:lstStyle/>
        <a:p>
          <a:pPr>
            <a:defRPr b="0" i="0" u="none" strike="noStrike" kern="1200" baseline="0">
              <a:solidFill>
                <a:schemeClr val="dk1">
                  <a:lumMod val="65000"/>
                  <a:lumOff val="35000"/>
                </a:schemeClr>
              </a:solidFill>
              <a:effectLst/>
              <a:latin typeface="+mn-lt"/>
              <a:ea typeface="+mn-ea"/>
              <a:cs typeface="+mn-cs"/>
            </a:defRPr>
          </a:pPr>
          <a:endParaRPr lang="en-US"/>
        </a:p>
      </c:txPr>
    </c:title>
    <c:autoTitleDeleted val="0"/>
    <c:plotArea>
      <c:layout>
        <c:manualLayout>
          <c:layoutTarget val="inner"/>
          <c:xMode val="edge"/>
          <c:yMode val="edge"/>
          <c:x val="3.3333333333333298E-2"/>
          <c:y val="0.21284740449110501"/>
          <c:w val="0.92777777777777803"/>
          <c:h val="0.67743839311752696"/>
        </c:manualLayout>
      </c:layout>
      <c:barChart>
        <c:barDir val="col"/>
        <c:grouping val="clustered"/>
        <c:varyColors val="1"/>
        <c:ser>
          <c:idx val="0"/>
          <c:order val="0"/>
          <c:tx>
            <c:strRef>
              <c:f>Revenue!$B$23</c:f>
              <c:strCache>
                <c:ptCount val="1"/>
                <c:pt idx="0">
                  <c:v>2017</c:v>
                </c:pt>
              </c:strCache>
            </c:strRef>
          </c:tx>
          <c:invertIfNegative val="0"/>
          <c:dPt>
            <c:idx val="0"/>
            <c:invertIfNegative val="0"/>
            <c:bubble3D val="0"/>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1-24C6-4E16-BD65-2FE0900F7362}"/>
              </c:ext>
            </c:extLst>
          </c:dPt>
          <c:dPt>
            <c:idx val="1"/>
            <c:invertIfNegative val="0"/>
            <c:bubble3D val="0"/>
            <c:spPr>
              <a:gradFill>
                <a:gsLst>
                  <a:gs pos="0">
                    <a:schemeClr val="accent2"/>
                  </a:gs>
                  <a:gs pos="100000">
                    <a:schemeClr val="accent2">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3-24C6-4E16-BD65-2FE0900F7362}"/>
              </c:ext>
            </c:extLst>
          </c:dPt>
          <c:dPt>
            <c:idx val="2"/>
            <c:invertIfNegative val="0"/>
            <c:bubble3D val="0"/>
            <c:spPr>
              <a:gradFill>
                <a:gsLst>
                  <a:gs pos="0">
                    <a:schemeClr val="accent3"/>
                  </a:gs>
                  <a:gs pos="100000">
                    <a:schemeClr val="accent3">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5-24C6-4E16-BD65-2FE0900F7362}"/>
              </c:ext>
            </c:extLst>
          </c:dPt>
          <c:dPt>
            <c:idx val="3"/>
            <c:invertIfNegative val="0"/>
            <c:bubble3D val="0"/>
            <c:spPr>
              <a:gradFill>
                <a:gsLst>
                  <a:gs pos="0">
                    <a:schemeClr val="accent4"/>
                  </a:gs>
                  <a:gs pos="100000">
                    <a:schemeClr val="accent4">
                      <a:lumMod val="84000"/>
                    </a:schemeClr>
                  </a:gs>
                </a:gsLst>
                <a:lin ang="5400000" scaled="1"/>
              </a:gradFill>
              <a:ln>
                <a:noFill/>
              </a:ln>
              <a:effectLst>
                <a:outerShdw blurRad="76200" dir="18900000" sy="23000" kx="-1200000" algn="bl" rotWithShape="0">
                  <a:prstClr val="black">
                    <a:alpha val="20000"/>
                  </a:prstClr>
                </a:outerShdw>
              </a:effectLst>
            </c:spPr>
            <c:extLst>
              <c:ext xmlns:c16="http://schemas.microsoft.com/office/drawing/2014/chart" uri="{C3380CC4-5D6E-409C-BE32-E72D297353CC}">
                <c16:uniqueId val="{00000007-24C6-4E16-BD65-2FE0900F7362}"/>
              </c:ext>
            </c:extLst>
          </c:dPt>
          <c:dLbls>
            <c:numFmt formatCode="_(&quot;$&quot;* #,##0_);_(&quot;$&quot;* \(#,##0\);_(&quot;$&quot;* &quot;-&quot;_);_(@_)"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Revenue!$A$24:$A$27</c:f>
              <c:strCache>
                <c:ptCount val="4"/>
                <c:pt idx="0">
                  <c:v>Q1</c:v>
                </c:pt>
                <c:pt idx="1">
                  <c:v>Q2</c:v>
                </c:pt>
                <c:pt idx="2">
                  <c:v>Q3</c:v>
                </c:pt>
                <c:pt idx="3">
                  <c:v>Q4</c:v>
                </c:pt>
              </c:strCache>
            </c:strRef>
          </c:cat>
          <c:val>
            <c:numRef>
              <c:f>Revenue!$B$24:$B$27</c:f>
              <c:numCache>
                <c:formatCode>General</c:formatCode>
                <c:ptCount val="4"/>
                <c:pt idx="0">
                  <c:v>1935</c:v>
                </c:pt>
                <c:pt idx="1">
                  <c:v>2085</c:v>
                </c:pt>
                <c:pt idx="2">
                  <c:v>1800</c:v>
                </c:pt>
                <c:pt idx="3">
                  <c:v>1767</c:v>
                </c:pt>
              </c:numCache>
            </c:numRef>
          </c:val>
          <c:extLst>
            <c:ext xmlns:c16="http://schemas.microsoft.com/office/drawing/2014/chart" uri="{C3380CC4-5D6E-409C-BE32-E72D297353CC}">
              <c16:uniqueId val="{00000008-24C6-4E16-BD65-2FE0900F7362}"/>
            </c:ext>
          </c:extLst>
        </c:ser>
        <c:dLbls>
          <c:dLblPos val="inEnd"/>
          <c:showLegendKey val="0"/>
          <c:showVal val="1"/>
          <c:showCatName val="0"/>
          <c:showSerName val="0"/>
          <c:showPercent val="0"/>
          <c:showBubbleSize val="0"/>
        </c:dLbls>
        <c:gapWidth val="41"/>
        <c:axId val="410833376"/>
        <c:axId val="408523472"/>
      </c:barChart>
      <c:catAx>
        <c:axId val="4108333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dk1">
                    <a:lumMod val="65000"/>
                    <a:lumOff val="35000"/>
                  </a:schemeClr>
                </a:solidFill>
                <a:effectLst/>
                <a:latin typeface="+mn-lt"/>
                <a:ea typeface="+mn-ea"/>
                <a:cs typeface="+mn-cs"/>
              </a:defRPr>
            </a:pPr>
            <a:endParaRPr lang="en-US"/>
          </a:p>
        </c:txPr>
        <c:crossAx val="408523472"/>
        <c:crosses val="autoZero"/>
        <c:auto val="1"/>
        <c:lblAlgn val="ctr"/>
        <c:lblOffset val="100"/>
        <c:noMultiLvlLbl val="0"/>
      </c:catAx>
      <c:valAx>
        <c:axId val="408523472"/>
        <c:scaling>
          <c:orientation val="minMax"/>
          <c:min val="1000"/>
        </c:scaling>
        <c:delete val="1"/>
        <c:axPos val="l"/>
        <c:numFmt formatCode="_(&quot;$&quot;* #,##0_);_(&quot;$&quot;* \(#,##0\);_(&quot;$&quot;* &quot;-&quot;_);_(@_)" sourceLinked="0"/>
        <c:majorTickMark val="none"/>
        <c:minorTickMark val="none"/>
        <c:tickLblPos val="nextTo"/>
        <c:crossAx val="41083337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2394441475147001"/>
          <c:y val="0"/>
        </c:manualLayout>
      </c:layout>
      <c:overlay val="0"/>
      <c:spPr>
        <a:noFill/>
        <a:ln>
          <a:noFill/>
        </a:ln>
        <a:effectLst/>
      </c:spPr>
      <c:txPr>
        <a:bodyPr rot="0" spcFirstLastPara="1" vertOverflow="ellipsis" vert="horz" wrap="square" anchor="ctr" anchorCtr="1"/>
        <a:lstStyle/>
        <a:p>
          <a:pPr>
            <a:defRPr sz="1400" b="1" i="0" u="none" strike="noStrike" kern="1200" baseline="0">
              <a:solidFill>
                <a:schemeClr val="tx2"/>
              </a:solidFill>
              <a:latin typeface="+mn-lt"/>
              <a:ea typeface="+mn-ea"/>
              <a:cs typeface="+mn-cs"/>
            </a:defRPr>
          </a:pPr>
          <a:endParaRPr lang="en-US"/>
        </a:p>
      </c:txPr>
    </c:title>
    <c:autoTitleDeleted val="0"/>
    <c:plotArea>
      <c:layout>
        <c:manualLayout>
          <c:layoutTarget val="inner"/>
          <c:xMode val="edge"/>
          <c:yMode val="edge"/>
          <c:x val="0.26739248454445602"/>
          <c:y val="0.19585365853658501"/>
          <c:w val="0.61438196762016195"/>
          <c:h val="0.611477498239549"/>
        </c:manualLayout>
      </c:layout>
      <c:areaChart>
        <c:grouping val="stacked"/>
        <c:varyColors val="0"/>
        <c:ser>
          <c:idx val="0"/>
          <c:order val="0"/>
          <c:tx>
            <c:strRef>
              <c:f>BS!$D$29</c:f>
              <c:strCache>
                <c:ptCount val="1"/>
                <c:pt idx="0">
                  <c:v>Net Debt</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cat>
            <c:numRef>
              <c:f>BS!$C$30:$C$34</c:f>
              <c:numCache>
                <c:formatCode>General</c:formatCode>
                <c:ptCount val="5"/>
                <c:pt idx="0">
                  <c:v>2014</c:v>
                </c:pt>
                <c:pt idx="1">
                  <c:v>2015</c:v>
                </c:pt>
                <c:pt idx="2">
                  <c:v>2016</c:v>
                </c:pt>
                <c:pt idx="3">
                  <c:v>2017</c:v>
                </c:pt>
                <c:pt idx="4">
                  <c:v>2018</c:v>
                </c:pt>
              </c:numCache>
            </c:numRef>
          </c:cat>
          <c:val>
            <c:numRef>
              <c:f>BS!$D$30:$D$34</c:f>
              <c:numCache>
                <c:formatCode>General</c:formatCode>
                <c:ptCount val="5"/>
                <c:pt idx="0">
                  <c:v>6957</c:v>
                </c:pt>
                <c:pt idx="1">
                  <c:v>7238</c:v>
                </c:pt>
                <c:pt idx="2">
                  <c:v>7998</c:v>
                </c:pt>
                <c:pt idx="3">
                  <c:v>9061</c:v>
                </c:pt>
                <c:pt idx="4">
                  <c:v>10096</c:v>
                </c:pt>
              </c:numCache>
            </c:numRef>
          </c:val>
          <c:extLst>
            <c:ext xmlns:c16="http://schemas.microsoft.com/office/drawing/2014/chart" uri="{C3380CC4-5D6E-409C-BE32-E72D297353CC}">
              <c16:uniqueId val="{00000000-E3FF-4101-96D2-BFE2A0DDF7E5}"/>
            </c:ext>
          </c:extLst>
        </c:ser>
        <c:dLbls>
          <c:showLegendKey val="0"/>
          <c:showVal val="0"/>
          <c:showCatName val="0"/>
          <c:showSerName val="0"/>
          <c:showPercent val="0"/>
          <c:showBubbleSize val="0"/>
        </c:dLbls>
        <c:axId val="380538784"/>
        <c:axId val="380582224"/>
      </c:areaChart>
      <c:catAx>
        <c:axId val="380538784"/>
        <c:scaling>
          <c:orientation val="minMax"/>
        </c:scaling>
        <c:delete val="0"/>
        <c:axPos val="b"/>
        <c:numFmt formatCode="General"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0582224"/>
        <c:crosses val="autoZero"/>
        <c:auto val="1"/>
        <c:lblAlgn val="ctr"/>
        <c:lblOffset val="100"/>
        <c:tickMarkSkip val="1"/>
        <c:noMultiLvlLbl val="0"/>
      </c:catAx>
      <c:valAx>
        <c:axId val="380582224"/>
        <c:scaling>
          <c:orientation val="minMax"/>
          <c:max val="12000"/>
        </c:scaling>
        <c:delete val="0"/>
        <c:axPos val="l"/>
        <c:majorGridlines>
          <c:spPr>
            <a:ln w="9525" cap="flat" cmpd="sng" algn="ctr">
              <a:solidFill>
                <a:schemeClr val="tx2">
                  <a:lumMod val="15000"/>
                  <a:lumOff val="85000"/>
                </a:schemeClr>
              </a:solidFill>
              <a:round/>
            </a:ln>
            <a:effectLst/>
          </c:spPr>
        </c:majorGridlines>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80538784"/>
        <c:crosses val="autoZero"/>
        <c:crossBetween val="midCat"/>
        <c:majorUnit val="4000"/>
      </c:valAx>
      <c:spPr>
        <a:noFill/>
        <a:ln>
          <a:noFill/>
        </a:ln>
        <a:effectLst/>
      </c:spPr>
    </c:plotArea>
    <c:plotVisOnly val="1"/>
    <c:dispBlanksAs val="zero"/>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bar"/>
        <c:grouping val="clustered"/>
        <c:varyColors val="1"/>
        <c:ser>
          <c:idx val="0"/>
          <c:order val="0"/>
          <c:tx>
            <c:strRef>
              <c:f>Revenue!$B$13</c:f>
              <c:strCache>
                <c:ptCount val="1"/>
                <c:pt idx="0">
                  <c:v>Gross Profit Margin</c:v>
                </c:pt>
              </c:strCache>
            </c:strRef>
          </c:tx>
          <c:spPr>
            <a:solidFill>
              <a:schemeClr val="accent4">
                <a:lumMod val="60000"/>
                <a:lumOff val="40000"/>
              </a:schemeClr>
            </a:solidFill>
          </c:spPr>
          <c:invertIfNegative val="0"/>
          <c:dPt>
            <c:idx val="0"/>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1-D0B2-4D4C-A4BB-313199D96064}"/>
              </c:ext>
            </c:extLst>
          </c:dPt>
          <c:dPt>
            <c:idx val="1"/>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3-D0B2-4D4C-A4BB-313199D96064}"/>
              </c:ext>
            </c:extLst>
          </c:dPt>
          <c:dPt>
            <c:idx val="2"/>
            <c:invertIfNegative val="0"/>
            <c:bubble3D val="0"/>
            <c:spPr>
              <a:solidFill>
                <a:schemeClr val="accent5">
                  <a:lumMod val="75000"/>
                </a:schemeClr>
              </a:solidFill>
              <a:ln>
                <a:noFill/>
              </a:ln>
              <a:effectLst/>
            </c:spPr>
            <c:extLst>
              <c:ext xmlns:c16="http://schemas.microsoft.com/office/drawing/2014/chart" uri="{C3380CC4-5D6E-409C-BE32-E72D297353CC}">
                <c16:uniqueId val="{00000005-D0B2-4D4C-A4BB-313199D96064}"/>
              </c:ext>
            </c:extLst>
          </c:dPt>
          <c:dPt>
            <c:idx val="3"/>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7-D0B2-4D4C-A4BB-313199D96064}"/>
              </c:ext>
            </c:extLst>
          </c:dPt>
          <c:dPt>
            <c:idx val="4"/>
            <c:invertIfNegative val="0"/>
            <c:bubble3D val="0"/>
            <c:spPr>
              <a:solidFill>
                <a:schemeClr val="accent4">
                  <a:lumMod val="60000"/>
                  <a:lumOff val="40000"/>
                </a:schemeClr>
              </a:solidFill>
              <a:ln>
                <a:noFill/>
              </a:ln>
              <a:effectLst/>
            </c:spPr>
            <c:extLst>
              <c:ext xmlns:c16="http://schemas.microsoft.com/office/drawing/2014/chart" uri="{C3380CC4-5D6E-409C-BE32-E72D297353CC}">
                <c16:uniqueId val="{00000009-D0B2-4D4C-A4BB-313199D96064}"/>
              </c:ext>
            </c:extLst>
          </c:dPt>
          <c:cat>
            <c:strRef>
              <c:f>Revenue!$A$14:$A$18</c:f>
              <c:strCache>
                <c:ptCount val="5"/>
                <c:pt idx="0">
                  <c:v>Molson Brewing</c:v>
                </c:pt>
                <c:pt idx="1">
                  <c:v>Anheuser-Busch</c:v>
                </c:pt>
                <c:pt idx="2">
                  <c:v>Constellation Brands</c:v>
                </c:pt>
                <c:pt idx="3">
                  <c:v>Heineken</c:v>
                </c:pt>
                <c:pt idx="4">
                  <c:v>Pernod Ricard</c:v>
                </c:pt>
              </c:strCache>
            </c:strRef>
          </c:cat>
          <c:val>
            <c:numRef>
              <c:f>Revenue!$B$14:$B$18</c:f>
              <c:numCache>
                <c:formatCode>0.00%</c:formatCode>
                <c:ptCount val="5"/>
                <c:pt idx="0">
                  <c:v>0.40079978187767001</c:v>
                </c:pt>
                <c:pt idx="1">
                  <c:v>0.58329890392981298</c:v>
                </c:pt>
                <c:pt idx="2">
                  <c:v>0.504350118639599</c:v>
                </c:pt>
                <c:pt idx="3">
                  <c:v>0.43676900584795297</c:v>
                </c:pt>
                <c:pt idx="4">
                  <c:v>0.61863625892651497</c:v>
                </c:pt>
              </c:numCache>
            </c:numRef>
          </c:val>
          <c:extLst>
            <c:ext xmlns:c16="http://schemas.microsoft.com/office/drawing/2014/chart" uri="{C3380CC4-5D6E-409C-BE32-E72D297353CC}">
              <c16:uniqueId val="{0000000A-D0B2-4D4C-A4BB-313199D96064}"/>
            </c:ext>
          </c:extLst>
        </c:ser>
        <c:dLbls>
          <c:showLegendKey val="0"/>
          <c:showVal val="0"/>
          <c:showCatName val="0"/>
          <c:showSerName val="0"/>
          <c:showPercent val="0"/>
          <c:showBubbleSize val="0"/>
        </c:dLbls>
        <c:gapWidth val="100"/>
        <c:axId val="396660096"/>
        <c:axId val="396664832"/>
      </c:barChart>
      <c:catAx>
        <c:axId val="396660096"/>
        <c:scaling>
          <c:orientation val="minMax"/>
        </c:scaling>
        <c:delete val="0"/>
        <c:axPos val="l"/>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en-US"/>
          </a:p>
        </c:txPr>
        <c:crossAx val="396664832"/>
        <c:crosses val="autoZero"/>
        <c:auto val="1"/>
        <c:lblAlgn val="ctr"/>
        <c:lblOffset val="100"/>
        <c:noMultiLvlLbl val="0"/>
      </c:catAx>
      <c:valAx>
        <c:axId val="396664832"/>
        <c:scaling>
          <c:orientation val="minMax"/>
          <c:max val="0.75"/>
        </c:scaling>
        <c:delete val="0"/>
        <c:axPos val="b"/>
        <c:majorGridlines>
          <c:spPr>
            <a:ln w="9525" cap="flat" cmpd="sng" algn="ctr">
              <a:solidFill>
                <a:schemeClr val="tx2">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396660096"/>
        <c:crosses val="autoZero"/>
        <c:crossBetween val="between"/>
        <c:majorUnit val="0.25"/>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accent5">
                    <a:lumMod val="75000"/>
                  </a:schemeClr>
                </a:solidFill>
                <a:effectLst>
                  <a:outerShdw blurRad="50800" dist="38100" dir="5400000" algn="t" rotWithShape="0">
                    <a:prstClr val="black">
                      <a:alpha val="40000"/>
                    </a:prstClr>
                  </a:outerShdw>
                </a:effectLst>
                <a:latin typeface="+mn-lt"/>
                <a:ea typeface="+mn-ea"/>
                <a:cs typeface="+mn-cs"/>
              </a:defRPr>
            </a:pPr>
            <a:r>
              <a:rPr lang="en-US">
                <a:solidFill>
                  <a:schemeClr val="accent5">
                    <a:lumMod val="75000"/>
                  </a:schemeClr>
                </a:solidFill>
              </a:rPr>
              <a:t>Share Breakdown</a:t>
            </a:r>
          </a:p>
        </c:rich>
      </c:tx>
      <c:layout>
        <c:manualLayout>
          <c:xMode val="edge"/>
          <c:yMode val="edge"/>
          <c:x val="0.18694252813774001"/>
          <c:y val="0"/>
        </c:manualLayout>
      </c:layout>
      <c:overlay val="0"/>
      <c:spPr>
        <a:noFill/>
        <a:ln>
          <a:noFill/>
        </a:ln>
        <a:effectLst/>
      </c:spPr>
      <c:txPr>
        <a:bodyPr rot="0" spcFirstLastPara="1" vertOverflow="ellipsis" vert="horz" wrap="square" anchor="ctr" anchorCtr="1"/>
        <a:lstStyle/>
        <a:p>
          <a:pPr>
            <a:defRPr sz="1600" b="1" i="0" u="none" strike="noStrike" kern="1200" spc="100" baseline="0">
              <a:solidFill>
                <a:schemeClr val="accent5">
                  <a:lumMod val="75000"/>
                </a:schemeClr>
              </a:solidFill>
              <a:effectLst>
                <a:outerShdw blurRad="50800" dist="38100" dir="5400000" algn="t" rotWithShape="0">
                  <a:prstClr val="black">
                    <a:alpha val="40000"/>
                  </a:prstClr>
                </a:outerShdw>
              </a:effectLst>
              <a:latin typeface="+mn-lt"/>
              <a:ea typeface="+mn-ea"/>
              <a:cs typeface="+mn-cs"/>
            </a:defRPr>
          </a:pPr>
          <a:endParaRPr lang="en-US"/>
        </a:p>
      </c:txPr>
    </c:title>
    <c:autoTitleDeleted val="0"/>
    <c:plotArea>
      <c:layout>
        <c:manualLayout>
          <c:layoutTarget val="inner"/>
          <c:xMode val="edge"/>
          <c:yMode val="edge"/>
          <c:x val="6.9226470265361301E-2"/>
          <c:y val="0.19051093054262799"/>
          <c:w val="0.59719243814749201"/>
          <c:h val="0.78767075042137302"/>
        </c:manualLayout>
      </c:layout>
      <c:doughnut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36BC-4BB9-A107-0B89484198A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36BC-4BB9-A107-0B89484198A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36BC-4BB9-A107-0B89484198A0}"/>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bg1"/>
                    </a:solidFill>
                    <a:latin typeface="+mn-lt"/>
                    <a:ea typeface="+mn-ea"/>
                    <a:cs typeface="+mn-cs"/>
                  </a:defRPr>
                </a:pPr>
                <a:endParaRPr lang="en-US"/>
              </a:p>
            </c:txPr>
            <c:showLegendKey val="0"/>
            <c:showVal val="0"/>
            <c:showCatName val="0"/>
            <c:showSerName val="0"/>
            <c:showPercent val="1"/>
            <c:showBubbleSize val="0"/>
            <c:showLeaderLines val="1"/>
            <c:leaderLines>
              <c:spPr>
                <a:ln w="9525">
                  <a:solidFill>
                    <a:schemeClr val="lt1">
                      <a:lumMod val="95000"/>
                      <a:alpha val="54000"/>
                    </a:schemeClr>
                  </a:solidFill>
                </a:ln>
                <a:effectLst/>
              </c:spPr>
            </c:leaderLines>
            <c:extLst>
              <c:ext xmlns:c15="http://schemas.microsoft.com/office/drawing/2012/chart" uri="{CE6537A1-D6FC-4f65-9D91-7224C49458BB}"/>
            </c:extLst>
          </c:dLbls>
          <c:cat>
            <c:strRef>
              <c:f>Ownership!$A$1:$A$3</c:f>
              <c:strCache>
                <c:ptCount val="3"/>
                <c:pt idx="0">
                  <c:v>Institutional Ownership</c:v>
                </c:pt>
                <c:pt idx="1">
                  <c:v>Insider Ownership</c:v>
                </c:pt>
                <c:pt idx="2">
                  <c:v>Unknown</c:v>
                </c:pt>
              </c:strCache>
            </c:strRef>
          </c:cat>
          <c:val>
            <c:numRef>
              <c:f>Ownership!$B$1:$B$3</c:f>
              <c:numCache>
                <c:formatCode>0.00%</c:formatCode>
                <c:ptCount val="3"/>
                <c:pt idx="0">
                  <c:v>0.89219999999999999</c:v>
                </c:pt>
                <c:pt idx="1">
                  <c:v>4.7300000000000002E-2</c:v>
                </c:pt>
                <c:pt idx="2">
                  <c:v>6.0499999999999998E-2</c:v>
                </c:pt>
              </c:numCache>
            </c:numRef>
          </c:val>
          <c:extLst>
            <c:ext xmlns:c16="http://schemas.microsoft.com/office/drawing/2014/chart" uri="{C3380CC4-5D6E-409C-BE32-E72D297353CC}">
              <c16:uniqueId val="{00000006-36BC-4BB9-A107-0B89484198A0}"/>
            </c:ext>
          </c:extLst>
        </c:ser>
        <c:dLbls>
          <c:showLegendKey val="0"/>
          <c:showVal val="0"/>
          <c:showCatName val="0"/>
          <c:showSerName val="0"/>
          <c:showPercent val="1"/>
          <c:showBubbleSize val="0"/>
          <c:showLeaderLines val="1"/>
        </c:dLbls>
        <c:firstSliceAng val="0"/>
        <c:holeSize val="50"/>
      </c:doughnutChart>
      <c:spPr>
        <a:noFill/>
        <a:ln>
          <a:noFill/>
        </a:ln>
        <a:effectLst/>
      </c:spPr>
    </c:plotArea>
    <c:legend>
      <c:legendPos val="r"/>
      <c:layout>
        <c:manualLayout>
          <c:xMode val="edge"/>
          <c:yMode val="edge"/>
          <c:x val="0.59912544201936702"/>
          <c:y val="0.190671513504901"/>
          <c:w val="0.37645869558997902"/>
          <c:h val="0.7224275280286449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accent5">
                  <a:lumMod val="75000"/>
                </a:schemeClr>
              </a:solidFill>
              <a:latin typeface="+mn-lt"/>
              <a:ea typeface="+mn-ea"/>
              <a:cs typeface="+mn-cs"/>
            </a:defRPr>
          </a:pPr>
          <a:endParaRPr lang="en-US"/>
        </a:p>
      </c:txPr>
    </c:legend>
    <c:plotVisOnly val="1"/>
    <c:dispBlanksAs val="gap"/>
    <c:showDLblsOverMax val="0"/>
  </c:chart>
  <c:spPr>
    <a:solidFill>
      <a:schemeClr val="bg1"/>
    </a:solidFill>
    <a:ln>
      <a:noFill/>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0" baseline="0">
                <a:solidFill>
                  <a:schemeClr val="accent5">
                    <a:lumMod val="75000"/>
                  </a:schemeClr>
                </a:solidFill>
                <a:latin typeface="+mn-lt"/>
                <a:ea typeface="+mn-ea"/>
                <a:cs typeface="+mn-cs"/>
              </a:defRPr>
            </a:pPr>
            <a:r>
              <a:rPr lang="en-US" sz="1600" b="1">
                <a:solidFill>
                  <a:schemeClr val="accent5">
                    <a:lumMod val="75000"/>
                  </a:schemeClr>
                </a:solidFill>
              </a:rPr>
              <a:t>Top Investors</a:t>
            </a:r>
          </a:p>
        </c:rich>
      </c:tx>
      <c:layout>
        <c:manualLayout>
          <c:xMode val="edge"/>
          <c:yMode val="edge"/>
          <c:x val="0.140849047242838"/>
          <c:y val="4.2735042735042701E-2"/>
        </c:manualLayout>
      </c:layout>
      <c:overlay val="0"/>
      <c:spPr>
        <a:noFill/>
        <a:ln>
          <a:noFill/>
        </a:ln>
        <a:effectLst/>
      </c:spPr>
      <c:txPr>
        <a:bodyPr rot="0" spcFirstLastPara="1" vertOverflow="ellipsis" vert="horz" wrap="square" anchor="ctr" anchorCtr="1"/>
        <a:lstStyle/>
        <a:p>
          <a:pPr>
            <a:defRPr sz="1600" b="1" i="0" u="none" strike="noStrike" kern="1200" spc="0" baseline="0">
              <a:solidFill>
                <a:schemeClr val="accent5">
                  <a:lumMod val="75000"/>
                </a:schemeClr>
              </a:solidFill>
              <a:latin typeface="+mn-lt"/>
              <a:ea typeface="+mn-ea"/>
              <a:cs typeface="+mn-cs"/>
            </a:defRPr>
          </a:pPr>
          <a:endParaRPr lang="en-US"/>
        </a:p>
      </c:txPr>
    </c:title>
    <c:autoTitleDeleted val="0"/>
    <c:plotArea>
      <c:layout>
        <c:manualLayout>
          <c:layoutTarget val="inner"/>
          <c:xMode val="edge"/>
          <c:yMode val="edge"/>
          <c:x val="3.4320359021959103E-2"/>
          <c:y val="0.19123692136718701"/>
          <c:w val="0.47232413463072298"/>
          <c:h val="0.79149959903768996"/>
        </c:manualLayout>
      </c:layout>
      <c:pieChart>
        <c:varyColors val="1"/>
        <c:ser>
          <c:idx val="0"/>
          <c:order val="0"/>
          <c:tx>
            <c:strRef>
              <c:f>Ownership!$B$20</c:f>
              <c:strCache>
                <c:ptCount val="1"/>
                <c:pt idx="0">
                  <c:v>Percentage</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896B-46C2-AD80-A299FBD2D73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896B-46C2-AD80-A299FBD2D73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896B-46C2-AD80-A299FBD2D73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896B-46C2-AD80-A299FBD2D73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896B-46C2-AD80-A299FBD2D734}"/>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896B-46C2-AD80-A299FBD2D734}"/>
              </c:ext>
            </c:extLst>
          </c:dPt>
          <c:dLbls>
            <c:spPr>
              <a:noFill/>
              <a:ln>
                <a:noFill/>
              </a:ln>
              <a:effectLst/>
            </c:spPr>
            <c:txPr>
              <a:bodyPr rot="0" spcFirstLastPara="1" vertOverflow="ellipsis" vert="horz" wrap="square" lIns="38100" tIns="19050" rIns="38100" bIns="19050" anchor="ctr" anchorCtr="1">
                <a:spAutoFit/>
              </a:bodyPr>
              <a:lstStyle/>
              <a:p>
                <a:pPr>
                  <a:defRPr sz="16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Ownership!$A$21:$A$26</c:f>
              <c:strCache>
                <c:ptCount val="6"/>
                <c:pt idx="0">
                  <c:v>The Vanguard Group, Inc. </c:v>
                </c:pt>
                <c:pt idx="1">
                  <c:v>BlackRock Fund Advisors</c:v>
                </c:pt>
                <c:pt idx="2">
                  <c:v>SSgA Funds Management, Inc.</c:v>
                </c:pt>
                <c:pt idx="3">
                  <c:v>Fidelity Management &amp; Research Co.</c:v>
                </c:pt>
                <c:pt idx="4">
                  <c:v>Kensico Capital Management Corp.</c:v>
                </c:pt>
                <c:pt idx="5">
                  <c:v>Other</c:v>
                </c:pt>
              </c:strCache>
            </c:strRef>
          </c:cat>
          <c:val>
            <c:numRef>
              <c:f>Ownership!$B$21:$B$26</c:f>
              <c:numCache>
                <c:formatCode>0.00%</c:formatCode>
                <c:ptCount val="6"/>
                <c:pt idx="0">
                  <c:v>6.9800000000000001E-2</c:v>
                </c:pt>
                <c:pt idx="1">
                  <c:v>4.3499999999999997E-2</c:v>
                </c:pt>
                <c:pt idx="2">
                  <c:v>3.95E-2</c:v>
                </c:pt>
                <c:pt idx="3">
                  <c:v>3.1899999999999998E-2</c:v>
                </c:pt>
                <c:pt idx="4">
                  <c:v>2.5499999999999998E-2</c:v>
                </c:pt>
                <c:pt idx="5">
                  <c:v>0.78979999999999995</c:v>
                </c:pt>
              </c:numCache>
            </c:numRef>
          </c:val>
          <c:extLst>
            <c:ext xmlns:c16="http://schemas.microsoft.com/office/drawing/2014/chart" uri="{C3380CC4-5D6E-409C-BE32-E72D297353CC}">
              <c16:uniqueId val="{0000000C-896B-46C2-AD80-A299FBD2D734}"/>
            </c:ext>
          </c:extLst>
        </c:ser>
        <c:dLbls>
          <c:showLegendKey val="0"/>
          <c:showVal val="0"/>
          <c:showCatName val="0"/>
          <c:showSerName val="0"/>
          <c:showPercent val="1"/>
          <c:showBubbleSize val="0"/>
          <c:showLeaderLines val="1"/>
        </c:dLbls>
        <c:firstSliceAng val="0"/>
      </c:pieChart>
      <c:spPr>
        <a:noFill/>
        <a:ln>
          <a:noFill/>
        </a:ln>
        <a:effectLst/>
      </c:spPr>
    </c:plotArea>
    <c:legend>
      <c:legendPos val="r"/>
      <c:legendEntry>
        <c:idx val="4"/>
        <c:txPr>
          <a:bodyPr rot="0" spcFirstLastPara="1" vertOverflow="ellipsis" vert="horz" wrap="square" anchor="ctr" anchorCtr="1"/>
          <a:lstStyle/>
          <a:p>
            <a:pPr>
              <a:defRPr sz="1200" b="0" i="0" u="none" strike="noStrike" kern="1200" baseline="0">
                <a:solidFill>
                  <a:schemeClr val="accent5">
                    <a:lumMod val="75000"/>
                  </a:schemeClr>
                </a:solidFill>
                <a:effectLst>
                  <a:outerShdw blurRad="50800" dist="50800" dir="5400000" algn="ctr" rotWithShape="0">
                    <a:schemeClr val="bg1"/>
                  </a:outerShdw>
                </a:effectLst>
                <a:latin typeface="+mn-lt"/>
                <a:ea typeface="+mn-ea"/>
                <a:cs typeface="+mn-cs"/>
              </a:defRPr>
            </a:pPr>
            <a:endParaRPr lang="en-US"/>
          </a:p>
        </c:txPr>
      </c:legendEntry>
      <c:layout>
        <c:manualLayout>
          <c:xMode val="edge"/>
          <c:yMode val="edge"/>
          <c:x val="0.57309294704727598"/>
          <c:y val="9.6357662589690293E-2"/>
          <c:w val="0.39511029776565798"/>
          <c:h val="0.9036423374103099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accent5">
                  <a:lumMod val="75000"/>
                </a:schemeClr>
              </a:solidFill>
              <a:effectLst>
                <a:outerShdw blurRad="50800" dist="50800" dir="5400000" algn="ctr" rotWithShape="0">
                  <a:schemeClr val="bg1"/>
                </a:outerShdw>
              </a:effectLst>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9">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lt1"/>
    </cs:fontRef>
  </cs:dataPoint>
  <cs:dataPoint3D>
    <cs:lnRef idx="0"/>
    <cs:fillRef idx="3">
      <cs:styleClr val="auto"/>
    </cs:fillRef>
    <cs:effectRef idx="3"/>
    <cs:fontRef idx="minor">
      <a:schemeClr val="lt1"/>
    </cs:fontRef>
  </cs:dataPoint3D>
  <cs:dataPointLine>
    <cs:lnRef idx="0">
      <cs:styleClr val="auto"/>
    </cs:lnRef>
    <cs:fillRef idx="3"/>
    <cs:effectRef idx="3"/>
    <cs:fontRef idx="minor">
      <a:schemeClr val="lt1"/>
    </cs:fontRef>
    <cs:spPr>
      <a:ln w="34925" cap="rnd">
        <a:solidFill>
          <a:schemeClr val="phClr"/>
        </a:solidFill>
        <a:round/>
      </a:ln>
    </cs:spPr>
  </cs:dataPointLine>
  <cs:dataPointMarker>
    <cs:lnRef idx="0">
      <cs:styleClr val="auto"/>
    </cs:lnRef>
    <cs:fillRef idx="3">
      <cs:styleClr val="auto"/>
    </cs:fillRef>
    <cs:effectRef idx="3"/>
    <cs:fontRef idx="minor">
      <a:schemeClr val="lt1"/>
    </cs:fontRef>
    <cs:spPr>
      <a:ln w="9525">
        <a:solidFill>
          <a:schemeClr val="phClr"/>
        </a:solidFill>
        <a:round/>
      </a:ln>
    </cs:spPr>
  </cs:dataPointMarker>
  <cs:dataPointMarkerLayout symbol="circle" size="6"/>
  <cs:dataPointWireframe>
    <cs:lnRef idx="0">
      <cs:styleClr val="auto"/>
    </cs:lnRef>
    <cs:fillRef idx="3"/>
    <cs:effectRef idx="3"/>
    <cs:fontRef idx="minor">
      <a:schemeClr val="lt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lt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lt1"/>
    </cs:fontRef>
    <cs:spPr>
      <a:ln w="9525">
        <a:solidFill>
          <a:schemeClr val="lt1">
            <a:lumMod val="95000"/>
            <a:alpha val="54000"/>
          </a:schemeClr>
        </a:solidFill>
        <a:prstDash val="dash"/>
      </a:ln>
    </cs:spPr>
  </cs:dropLine>
  <cs:errorBar>
    <cs:lnRef idx="0"/>
    <cs:fillRef idx="0"/>
    <cs:effectRef idx="0"/>
    <cs:fontRef idx="minor">
      <a:schemeClr val="lt1"/>
    </cs:fontRef>
    <cs:spPr>
      <a:ln w="9525" cap="flat" cmpd="sng" algn="ctr">
        <a:solidFill>
          <a:schemeClr val="lt1">
            <a:lumMod val="95000"/>
          </a:schemeClr>
        </a:solidFill>
        <a:round/>
      </a:ln>
    </cs:spPr>
  </cs:errorBar>
  <cs:floor>
    <cs:lnRef idx="0"/>
    <cs:fillRef idx="0"/>
    <cs:effectRef idx="0"/>
    <cs:fontRef idx="minor">
      <a:schemeClr val="lt1"/>
    </cs:fontRef>
  </cs:floor>
  <cs:gridlineMajor>
    <cs:lnRef idx="0"/>
    <cs:fillRef idx="0"/>
    <cs:effectRef idx="0"/>
    <cs:fontRef idx="minor">
      <a:schemeClr val="lt1"/>
    </cs:fontRef>
    <cs:spPr>
      <a:ln w="9525" cap="flat" cmpd="sng" algn="ctr">
        <a:solidFill>
          <a:schemeClr val="lt1">
            <a:lumMod val="95000"/>
            <a:alpha val="10000"/>
          </a:schemeClr>
        </a:solidFill>
        <a:round/>
      </a:ln>
    </cs:spPr>
  </cs:gridlineMajor>
  <cs:gridlineMinor>
    <cs:lnRef idx="0"/>
    <cs:fillRef idx="0"/>
    <cs:effectRef idx="0"/>
    <cs:fontRef idx="minor">
      <a:schemeClr val="lt1"/>
    </cs:fontRef>
    <cs:spPr>
      <a:ln>
        <a:solidFill>
          <a:schemeClr val="lt1">
            <a:lumMod val="95000"/>
            <a:alpha val="5000"/>
          </a:schemeClr>
        </a:solidFill>
      </a:ln>
    </cs:spPr>
  </cs:gridlineMinor>
  <cs:hiLoLine>
    <cs:lnRef idx="0"/>
    <cs:fillRef idx="0"/>
    <cs:effectRef idx="0"/>
    <cs:fontRef idx="minor">
      <a:schemeClr val="lt1"/>
    </cs:fontRef>
    <cs:spPr>
      <a:ln w="9525">
        <a:solidFill>
          <a:schemeClr val="lt1">
            <a:lumMod val="95000"/>
            <a:alpha val="54000"/>
          </a:schemeClr>
        </a:solidFill>
        <a:prstDash val="dash"/>
      </a:ln>
    </cs:spPr>
  </cs:hiLoLine>
  <cs:leaderLine>
    <cs:lnRef idx="0"/>
    <cs:fillRef idx="0"/>
    <cs:effectRef idx="0"/>
    <cs:fontRef idx="minor">
      <a:schemeClr val="lt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lt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lt1"/>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1">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5"/>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spPr>
      <a:ln w="9525" cap="flat" cmpd="sng" algn="ctr">
        <a:solidFill>
          <a:schemeClr val="tx2">
            <a:lumMod val="40000"/>
            <a:lumOff val="60000"/>
          </a:schemeClr>
        </a:solidFill>
        <a:round/>
      </a:ln>
    </cs:spPr>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57">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558CFC9-21F3-463D-94AF-B753374A4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UWEC</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Alfuth, Mark E.</dc:creator>
  <cp:keywords/>
  <dc:description/>
  <cp:lastModifiedBy>Herrero Berengue, Jorge</cp:lastModifiedBy>
  <cp:revision>2</cp:revision>
  <cp:lastPrinted>2018-10-20T17:14:00Z</cp:lastPrinted>
  <dcterms:created xsi:type="dcterms:W3CDTF">2018-10-22T00:50:00Z</dcterms:created>
  <dcterms:modified xsi:type="dcterms:W3CDTF">2018-10-22T00:50:00Z</dcterms:modified>
</cp:coreProperties>
</file>