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4FE7A" w14:textId="5A845DD0" w:rsidR="004A354A" w:rsidRPr="00A904C0" w:rsidRDefault="00111E19" w:rsidP="007F53B2">
      <w:pPr>
        <w:pBdr>
          <w:top w:val="single" w:sz="4" w:space="1" w:color="auto"/>
          <w:left w:val="single" w:sz="4" w:space="4" w:color="auto"/>
          <w:bottom w:val="single" w:sz="4" w:space="0" w:color="auto"/>
          <w:right w:val="single" w:sz="4" w:space="0" w:color="auto"/>
        </w:pBdr>
        <w:spacing w:line="240" w:lineRule="auto"/>
      </w:pPr>
      <w:r w:rsidRPr="004A354A">
        <w:rPr>
          <w:b/>
          <w:bCs/>
          <w:noProof/>
          <w:u w:val="single"/>
        </w:rPr>
        <w:drawing>
          <wp:anchor distT="0" distB="0" distL="114300" distR="114300" simplePos="0" relativeHeight="251658240" behindDoc="0" locked="0" layoutInCell="1" allowOverlap="1" wp14:anchorId="39931D41" wp14:editId="3E4D76D8">
            <wp:simplePos x="0" y="0"/>
            <wp:positionH relativeFrom="column">
              <wp:posOffset>2334613</wp:posOffset>
            </wp:positionH>
            <wp:positionV relativeFrom="paragraph">
              <wp:posOffset>22225</wp:posOffset>
            </wp:positionV>
            <wp:extent cx="722538" cy="685800"/>
            <wp:effectExtent l="0" t="0" r="1905" b="0"/>
            <wp:wrapNone/>
            <wp:docPr id="2052" name="Picture 4">
              <a:extLst xmlns:a="http://schemas.openxmlformats.org/drawingml/2006/main">
                <a:ext uri="{FF2B5EF4-FFF2-40B4-BE49-F238E27FC236}">
                  <a16:creationId xmlns:a16="http://schemas.microsoft.com/office/drawing/2014/main" id="{9590C056-180D-406A-A761-F987375A13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9590C056-180D-406A-A761-F987375A13DA}"/>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6696" cy="689747"/>
                    </a:xfrm>
                    <a:prstGeom prst="rect">
                      <a:avLst/>
                    </a:prstGeom>
                    <a:noFill/>
                  </pic:spPr>
                </pic:pic>
              </a:graphicData>
            </a:graphic>
            <wp14:sizeRelH relativeFrom="margin">
              <wp14:pctWidth>0</wp14:pctWidth>
            </wp14:sizeRelH>
            <wp14:sizeRelV relativeFrom="margin">
              <wp14:pctHeight>0</wp14:pctHeight>
            </wp14:sizeRelV>
          </wp:anchor>
        </w:drawing>
      </w:r>
      <w:r w:rsidR="004A354A" w:rsidRPr="00A904C0">
        <w:t xml:space="preserve">Valuation Date: </w:t>
      </w:r>
      <w:r w:rsidR="004A354A">
        <w:t>11</w:t>
      </w:r>
      <w:r w:rsidR="004A354A" w:rsidRPr="00A904C0">
        <w:t xml:space="preserve">/2/2020     </w:t>
      </w:r>
      <w:r w:rsidR="004A354A" w:rsidRPr="00A904C0">
        <w:tab/>
      </w:r>
      <w:r w:rsidR="004A354A" w:rsidRPr="00A904C0">
        <w:tab/>
      </w:r>
      <w:r w:rsidR="004A354A" w:rsidRPr="00A904C0">
        <w:tab/>
      </w:r>
      <w:r w:rsidR="004A354A" w:rsidRPr="00A904C0">
        <w:tab/>
      </w:r>
      <w:r w:rsidR="004A354A" w:rsidRPr="00A904C0">
        <w:tab/>
        <w:t xml:space="preserve">Recommendation: </w:t>
      </w:r>
      <w:r w:rsidR="00FD719C" w:rsidRPr="007B78B8">
        <w:rPr>
          <w:b/>
          <w:bCs/>
          <w:highlight w:val="green"/>
        </w:rPr>
        <w:t>BUY</w:t>
      </w:r>
    </w:p>
    <w:p w14:paraId="32F34B17" w14:textId="48073483" w:rsidR="004A354A" w:rsidRPr="00A904C0" w:rsidRDefault="004A354A" w:rsidP="007F53B2">
      <w:pPr>
        <w:pBdr>
          <w:top w:val="single" w:sz="4" w:space="1" w:color="auto"/>
          <w:left w:val="single" w:sz="4" w:space="4" w:color="auto"/>
          <w:bottom w:val="single" w:sz="4" w:space="0" w:color="auto"/>
          <w:right w:val="single" w:sz="4" w:space="0" w:color="auto"/>
        </w:pBdr>
        <w:spacing w:line="240" w:lineRule="auto"/>
      </w:pPr>
      <w:r w:rsidRPr="00A904C0">
        <w:t xml:space="preserve">Ticker: </w:t>
      </w:r>
      <w:r>
        <w:t>TTWQ</w:t>
      </w:r>
      <w:r>
        <w:tab/>
      </w:r>
      <w:r>
        <w:tab/>
      </w:r>
      <w:r>
        <w:tab/>
      </w:r>
      <w:r>
        <w:tab/>
      </w:r>
      <w:r>
        <w:tab/>
      </w:r>
      <w:r>
        <w:tab/>
      </w:r>
      <w:r>
        <w:tab/>
      </w:r>
      <w:r w:rsidR="007B78B8">
        <w:t>Price Target</w:t>
      </w:r>
      <w:r w:rsidRPr="00A904C0">
        <w:t>: $</w:t>
      </w:r>
      <w:r w:rsidR="007B78B8">
        <w:t>180</w:t>
      </w:r>
      <w:r w:rsidR="009C2C21">
        <w:t>.00</w:t>
      </w:r>
    </w:p>
    <w:p w14:paraId="68D7A85F" w14:textId="66EE3D0A" w:rsidR="00111E19" w:rsidRPr="00A904C0" w:rsidRDefault="004A354A" w:rsidP="007F53B2">
      <w:pPr>
        <w:pBdr>
          <w:top w:val="single" w:sz="4" w:space="1" w:color="auto"/>
          <w:left w:val="single" w:sz="4" w:space="4" w:color="auto"/>
          <w:bottom w:val="single" w:sz="4" w:space="0" w:color="auto"/>
          <w:right w:val="single" w:sz="4" w:space="0" w:color="auto"/>
        </w:pBdr>
        <w:spacing w:line="240" w:lineRule="auto"/>
      </w:pPr>
      <w:r w:rsidRPr="00A904C0">
        <w:t>Current Price:</w:t>
      </w:r>
      <w:r w:rsidR="005264FF">
        <w:t xml:space="preserve"> $</w:t>
      </w:r>
      <w:r w:rsidR="007F53B2">
        <w:t>154.03</w:t>
      </w:r>
      <w:r w:rsidRPr="00A904C0">
        <w:tab/>
      </w:r>
      <w:r w:rsidRPr="00A904C0">
        <w:tab/>
      </w:r>
      <w:r w:rsidRPr="00A904C0">
        <w:tab/>
      </w:r>
      <w:r w:rsidRPr="00A904C0">
        <w:tab/>
      </w:r>
      <w:r w:rsidRPr="00A904C0">
        <w:tab/>
      </w:r>
      <w:r w:rsidR="005264FF">
        <w:tab/>
      </w:r>
      <w:r w:rsidRPr="00A904C0">
        <w:t xml:space="preserve">Sector: </w:t>
      </w:r>
      <w:r w:rsidR="005264FF">
        <w:t>Communication Service</w:t>
      </w:r>
      <w:r w:rsidR="00111E19">
        <w:t>s</w:t>
      </w:r>
    </w:p>
    <w:p w14:paraId="6D4F419C" w14:textId="61602CC1" w:rsidR="004A354A" w:rsidRPr="00453603" w:rsidRDefault="004051B8" w:rsidP="00040A63">
      <w:pPr>
        <w:rPr>
          <w:b/>
          <w:bCs/>
          <w:color w:val="2F5496" w:themeColor="accent1" w:themeShade="BF"/>
          <w:sz w:val="28"/>
          <w:szCs w:val="28"/>
          <w:u w:val="single"/>
        </w:rPr>
      </w:pPr>
      <w:r w:rsidRPr="00453603">
        <w:rPr>
          <w:b/>
          <w:bCs/>
          <w:color w:val="2F5496" w:themeColor="accent1" w:themeShade="BF"/>
          <w:sz w:val="28"/>
          <w:szCs w:val="28"/>
          <w:u w:val="single"/>
        </w:rPr>
        <w:t>Introduction</w:t>
      </w:r>
    </w:p>
    <w:p w14:paraId="174F8E20" w14:textId="77777777" w:rsidR="00F01A46" w:rsidRDefault="00F01A46" w:rsidP="00040A63">
      <w:r w:rsidRPr="00F01A46">
        <w:t xml:space="preserve">Take-Two Interactive Software, Inc. was founded in 1993 and is based in New York City, New York. Take-Two is a video game holding company with their two major publishing labels being Rockstar Games and 2K, both of which have multiple internal game development studios. Take-Two rose into prominence in the video game industry with popular franchises such as </w:t>
      </w:r>
      <w:r w:rsidRPr="00F01A46">
        <w:rPr>
          <w:i/>
          <w:iCs/>
        </w:rPr>
        <w:t>Grand Theft Auto</w:t>
      </w:r>
      <w:r w:rsidRPr="00F01A46">
        <w:t xml:space="preserve"> and their various 2K sports titles. Take-Two’s video games have multiple platforms for all types of users, and are created for consoles, personal computers, smartphones, and tablets, and have been sold through retail, digital, or streaming services. For their most recent fiscal quarter ending in June 2020, Take-Two saw an increase in revenue of 54% to $831.3 million from one year ago.</w:t>
      </w:r>
    </w:p>
    <w:p w14:paraId="73641EFE" w14:textId="1001275B" w:rsidR="00F95EEB" w:rsidRPr="00453603" w:rsidRDefault="00F95EEB" w:rsidP="00040A63">
      <w:pPr>
        <w:rPr>
          <w:b/>
          <w:bCs/>
          <w:color w:val="2F5496" w:themeColor="accent1" w:themeShade="BF"/>
          <w:sz w:val="28"/>
          <w:szCs w:val="28"/>
          <w:u w:val="single"/>
        </w:rPr>
      </w:pPr>
      <w:r w:rsidRPr="00453603">
        <w:rPr>
          <w:b/>
          <w:bCs/>
          <w:color w:val="2F5496" w:themeColor="accent1" w:themeShade="BF"/>
          <w:sz w:val="28"/>
          <w:szCs w:val="28"/>
          <w:u w:val="single"/>
        </w:rPr>
        <w:t>Investment Thesis</w:t>
      </w:r>
    </w:p>
    <w:p w14:paraId="05BB1C71" w14:textId="77777777" w:rsidR="00F01A46" w:rsidRDefault="00F01A46" w:rsidP="004051B8">
      <w:r w:rsidRPr="00F01A46">
        <w:t>Take-Two Interactive has seen an explosive rise in its stock price in the past few years with its continued revenue gains and consistent product releases. Take-Two Interactive is a leader in its subsector and provides a positive outlook with its incredible lineup of upcoming games and a growing revenue outlook.</w:t>
      </w:r>
    </w:p>
    <w:p w14:paraId="44877DF5" w14:textId="35787D83" w:rsidR="00040A63" w:rsidRPr="00040A63" w:rsidRDefault="00040A63" w:rsidP="004051B8">
      <w:r w:rsidRPr="00040A63">
        <w:rPr>
          <w:b/>
          <w:bCs/>
        </w:rPr>
        <w:t>Research and Development Emphasis</w:t>
      </w:r>
      <w:r w:rsidR="004051B8">
        <w:t xml:space="preserve">: </w:t>
      </w:r>
      <w:r w:rsidR="000E65AF" w:rsidRPr="000E65AF">
        <w:t>Take-Two Interactive currently invests about 9.3% of its revenues into research and development purposes to either create new and innovative titles or to amplify current titles to further its sales. The company has been able to increase its R&amp;D spending by 51% since 2018 and aims to establish itself as an innovator within the gaming industry.</w:t>
      </w:r>
    </w:p>
    <w:p w14:paraId="7F470945" w14:textId="460B499F" w:rsidR="00040A63" w:rsidRDefault="00040A63" w:rsidP="004051B8">
      <w:r w:rsidRPr="00040A63">
        <w:rPr>
          <w:b/>
          <w:bCs/>
        </w:rPr>
        <w:t>Deep Pipeline of Future Titles</w:t>
      </w:r>
      <w:r w:rsidR="004051B8">
        <w:t xml:space="preserve">: </w:t>
      </w:r>
      <w:r w:rsidR="00F57084" w:rsidRPr="00F57084">
        <w:t>As it stands, Take-Two Interactive has 93 games planned, with 47 of those inspired by existing titles. With their continued development of new and previous titles, Take-Two aims to create meaningful long-term engagement with their consumers. Take-Two stands to gain significant profits if they can develop another successful “hit” game or franchise.</w:t>
      </w:r>
    </w:p>
    <w:p w14:paraId="2111DF23" w14:textId="543108E0" w:rsidR="00101236" w:rsidRPr="00040A63" w:rsidRDefault="00101236" w:rsidP="004051B8">
      <w:r w:rsidRPr="004051B8">
        <w:rPr>
          <w:b/>
          <w:bCs/>
        </w:rPr>
        <w:t>Further Inroads into Mobile Gaming</w:t>
      </w:r>
      <w:r w:rsidR="004051B8">
        <w:t xml:space="preserve">: </w:t>
      </w:r>
      <w:r>
        <w:t xml:space="preserve">In August, Take-Two Interactive acquired mobile game developer Playdots for $192 million. Take-Two will now be able to expand and diversify </w:t>
      </w:r>
      <w:r w:rsidR="00F57084">
        <w:t>its</w:t>
      </w:r>
      <w:r>
        <w:t xml:space="preserve"> current lineup of mobile games</w:t>
      </w:r>
      <w:r w:rsidR="00F57084">
        <w:t>,</w:t>
      </w:r>
      <w:r>
        <w:t xml:space="preserve"> cater</w:t>
      </w:r>
      <w:r w:rsidR="00F57084">
        <w:t>ing</w:t>
      </w:r>
      <w:r>
        <w:t xml:space="preserve"> more towards the casual and free-to-play segment with this acquisition. </w:t>
      </w:r>
      <w:r w:rsidR="008F7D03">
        <w:t xml:space="preserve">Playdots, along with </w:t>
      </w:r>
      <w:r w:rsidR="00F57084">
        <w:t>Take-Two’s</w:t>
      </w:r>
      <w:r w:rsidR="008F7D03">
        <w:t xml:space="preserve"> current holding of Socialpoint, provide an avenue for Take-Two to grow </w:t>
      </w:r>
      <w:r w:rsidR="009E1037">
        <w:t>its</w:t>
      </w:r>
      <w:r w:rsidR="008F7D03">
        <w:t xml:space="preserve"> presence in the flourishing mobile gaming market.</w:t>
      </w:r>
    </w:p>
    <w:p w14:paraId="22B4FAC9" w14:textId="4CA0855A" w:rsidR="00E47BF9" w:rsidRPr="00EF5336" w:rsidRDefault="00040A63" w:rsidP="004051B8">
      <w:r w:rsidRPr="004051B8">
        <w:rPr>
          <w:b/>
          <w:bCs/>
        </w:rPr>
        <w:t>Consistent Online User Base</w:t>
      </w:r>
      <w:r w:rsidR="004051B8" w:rsidRPr="004051B8">
        <w:rPr>
          <w:b/>
          <w:bCs/>
        </w:rPr>
        <w:t xml:space="preserve">: </w:t>
      </w:r>
      <w:r w:rsidR="00C640FB" w:rsidRPr="00C640FB">
        <w:t xml:space="preserve">Revenues from online sales such as virtual currency, add-on content, and in-game purchases increased 52% from 2019 to 2020, which has provided a perspective about how Take-Two’s users are continuous customers. Its three most popular franchises, </w:t>
      </w:r>
      <w:r w:rsidR="00C640FB" w:rsidRPr="002F1275">
        <w:rPr>
          <w:i/>
          <w:iCs/>
        </w:rPr>
        <w:t>Grand Theft Auto, Red Dead Redemption</w:t>
      </w:r>
      <w:r w:rsidR="00C640FB" w:rsidRPr="00C640FB">
        <w:t xml:space="preserve">, and </w:t>
      </w:r>
      <w:r w:rsidR="00C640FB" w:rsidRPr="002F1275">
        <w:rPr>
          <w:i/>
          <w:iCs/>
        </w:rPr>
        <w:t>NBA 2K</w:t>
      </w:r>
      <w:r w:rsidR="00C640FB" w:rsidRPr="00C640FB">
        <w:t xml:space="preserve"> comprise most of their revenues and are perpetually profitable due to their online sales.</w:t>
      </w:r>
    </w:p>
    <w:p w14:paraId="66D67BD1" w14:textId="77777777" w:rsidR="00453603" w:rsidRDefault="00453603" w:rsidP="0032189A">
      <w:pPr>
        <w:rPr>
          <w:b/>
          <w:bCs/>
          <w:u w:val="single"/>
        </w:rPr>
      </w:pPr>
    </w:p>
    <w:p w14:paraId="03820AA9" w14:textId="0CBDC25F" w:rsidR="0032189A" w:rsidRPr="00453603" w:rsidRDefault="0032189A" w:rsidP="0032189A">
      <w:pPr>
        <w:rPr>
          <w:b/>
          <w:bCs/>
          <w:color w:val="2F5496" w:themeColor="accent1" w:themeShade="BF"/>
          <w:sz w:val="28"/>
          <w:szCs w:val="28"/>
          <w:u w:val="single"/>
        </w:rPr>
      </w:pPr>
      <w:r w:rsidRPr="00453603">
        <w:rPr>
          <w:b/>
          <w:bCs/>
          <w:color w:val="2F5496" w:themeColor="accent1" w:themeShade="BF"/>
          <w:sz w:val="28"/>
          <w:szCs w:val="28"/>
          <w:u w:val="single"/>
        </w:rPr>
        <w:t>Risk Analysis</w:t>
      </w:r>
    </w:p>
    <w:p w14:paraId="08E071C0" w14:textId="06B7B140" w:rsidR="001A008C" w:rsidRDefault="0032189A" w:rsidP="0032189A">
      <w:r>
        <w:rPr>
          <w:b/>
          <w:bCs/>
        </w:rPr>
        <w:t>Dependance on Hit Titles:</w:t>
      </w:r>
      <w:r>
        <w:t xml:space="preserve"> </w:t>
      </w:r>
      <w:r w:rsidR="001A008C" w:rsidRPr="001A008C">
        <w:t xml:space="preserve">Take-Two Interactive has shown a clear dependence on their “hit” titles to provide an overwhelming majority of their revenue. Their most popular franchise, </w:t>
      </w:r>
      <w:r w:rsidR="001A008C" w:rsidRPr="00333DCF">
        <w:rPr>
          <w:i/>
          <w:iCs/>
        </w:rPr>
        <w:t>Grand Theft Auto</w:t>
      </w:r>
      <w:r w:rsidR="001A008C" w:rsidRPr="001A008C">
        <w:t xml:space="preserve">, comprised 23% of Take-Two’s net revenue. Take-Two’s five best-selling franchises, </w:t>
      </w:r>
      <w:r w:rsidR="001A008C" w:rsidRPr="00333DCF">
        <w:t xml:space="preserve">which include </w:t>
      </w:r>
      <w:r w:rsidR="001A008C" w:rsidRPr="00333DCF">
        <w:rPr>
          <w:i/>
          <w:iCs/>
        </w:rPr>
        <w:t>Grand Theft Auto</w:t>
      </w:r>
      <w:r w:rsidR="001A008C" w:rsidRPr="00333DCF">
        <w:t>, account for 87.4% of their net revenue in its most recent fiscal year. Other competitors can</w:t>
      </w:r>
      <w:r w:rsidR="001A008C" w:rsidRPr="001A008C">
        <w:t xml:space="preserve"> take up market share with their “hit” titles which are difficult to predict and are unreliable.</w:t>
      </w:r>
    </w:p>
    <w:p w14:paraId="0F231EE8" w14:textId="6B1E6A49" w:rsidR="006B7FBD" w:rsidRDefault="006B7FBD" w:rsidP="0032189A">
      <w:r w:rsidRPr="006B7FBD">
        <w:rPr>
          <w:b/>
          <w:bCs/>
        </w:rPr>
        <w:t>Product Market Acceptance</w:t>
      </w:r>
      <w:r>
        <w:rPr>
          <w:b/>
          <w:bCs/>
        </w:rPr>
        <w:t xml:space="preserve">: </w:t>
      </w:r>
      <w:r>
        <w:t>New products present problems regarding market acceptance, sufficient sales, and proper release timing. Titles generally follow a life cycle of high initial sales and followed by a rapid and sharp decline of sales following the first few months of launch. The life cycle of a product can be extended through continued development of downloadable content (DLC) for the title, but in general are not as profitable as initial sales. Changes in the release timing of a product can drastically affect total sales due to delays causing optimal launch timings to be marred.</w:t>
      </w:r>
    </w:p>
    <w:p w14:paraId="1555DB14" w14:textId="2AD4A726" w:rsidR="001228C2" w:rsidRDefault="00C45B8D" w:rsidP="0032189A">
      <w:r w:rsidRPr="00C45B8D">
        <w:rPr>
          <w:b/>
          <w:bCs/>
        </w:rPr>
        <w:t>Dependance on Console Success</w:t>
      </w:r>
      <w:r>
        <w:rPr>
          <w:b/>
          <w:bCs/>
        </w:rPr>
        <w:t xml:space="preserve">: </w:t>
      </w:r>
      <w:r w:rsidR="00CB3517" w:rsidRPr="00CB3517">
        <w:t>Take-Two interactive derives most of its revenue from video games developed for third party platforms, such as Sony’s PlayStation and Microsoft’s Xbox product lines. In the fall quarter, the release of the new console generation from these two companies creates new opportunities and risks. The success rate of Take-Two’s titles for the future generation of consoles is heavily dependent on the overall success of the upcoming console generation.</w:t>
      </w:r>
      <w:r w:rsidR="00CB3517">
        <w:t xml:space="preserve"> </w:t>
      </w:r>
      <w:r w:rsidR="00E66F57" w:rsidRPr="00E66F57">
        <w:t>In the coming year, as sales emerge and prices for the new consoles lower, there will exist downward pressure on software prices to diminish as well.</w:t>
      </w:r>
    </w:p>
    <w:p w14:paraId="09F53A38" w14:textId="0C1DB6E5" w:rsidR="008B036E" w:rsidRPr="00CB438F" w:rsidRDefault="008B036E" w:rsidP="0032189A">
      <w:r>
        <w:rPr>
          <w:b/>
          <w:bCs/>
        </w:rPr>
        <w:t xml:space="preserve">Shift in </w:t>
      </w:r>
      <w:r w:rsidR="0095712C">
        <w:rPr>
          <w:b/>
          <w:bCs/>
        </w:rPr>
        <w:t>Economy</w:t>
      </w:r>
      <w:r>
        <w:rPr>
          <w:b/>
          <w:bCs/>
        </w:rPr>
        <w:t xml:space="preserve"> due to COVID</w:t>
      </w:r>
      <w:r w:rsidR="0095712C">
        <w:rPr>
          <w:b/>
          <w:bCs/>
        </w:rPr>
        <w:t>-19</w:t>
      </w:r>
      <w:r w:rsidR="00CB438F">
        <w:rPr>
          <w:b/>
          <w:bCs/>
        </w:rPr>
        <w:t xml:space="preserve">: </w:t>
      </w:r>
      <w:r w:rsidR="00CC4245" w:rsidRPr="00CC4245">
        <w:t>Most of Take-Two’s products are related to the discretionary spending of consumers. If there is a negative shift in consumer discretionary spending, Take-Two</w:t>
      </w:r>
      <w:r w:rsidR="00946437">
        <w:t>’s profits</w:t>
      </w:r>
      <w:r w:rsidR="00CC4245" w:rsidRPr="00CC4245">
        <w:t xml:space="preserve"> would </w:t>
      </w:r>
      <w:r w:rsidR="00946437">
        <w:t>deteriorate</w:t>
      </w:r>
      <w:r w:rsidR="00CC4245" w:rsidRPr="00CC4245">
        <w:t xml:space="preserve">. If COVID-19 were to continue having adverse effects on the global economy, then the overall profits of Take-Two would </w:t>
      </w:r>
      <w:r w:rsidR="00946437">
        <w:t>suffer.</w:t>
      </w:r>
    </w:p>
    <w:p w14:paraId="771681D2" w14:textId="16275C41" w:rsidR="00F95EEB" w:rsidRPr="00453603" w:rsidRDefault="00F95EEB" w:rsidP="00F95EEB">
      <w:pPr>
        <w:rPr>
          <w:b/>
          <w:bCs/>
          <w:color w:val="2F5496" w:themeColor="accent1" w:themeShade="BF"/>
          <w:sz w:val="28"/>
          <w:szCs w:val="28"/>
          <w:u w:val="single"/>
        </w:rPr>
      </w:pPr>
      <w:r w:rsidRPr="00453603">
        <w:rPr>
          <w:b/>
          <w:bCs/>
          <w:color w:val="2F5496" w:themeColor="accent1" w:themeShade="BF"/>
          <w:sz w:val="28"/>
          <w:szCs w:val="28"/>
          <w:u w:val="single"/>
        </w:rPr>
        <w:t>Management</w:t>
      </w:r>
    </w:p>
    <w:p w14:paraId="3DE1CEAC" w14:textId="77777777" w:rsidR="00946437" w:rsidRDefault="00946437" w:rsidP="00F95EEB">
      <w:pPr>
        <w:rPr>
          <w:b/>
          <w:bCs/>
        </w:rPr>
      </w:pPr>
      <w:r w:rsidRPr="00946437">
        <w:rPr>
          <w:b/>
          <w:bCs/>
        </w:rPr>
        <w:t xml:space="preserve">Strauss </w:t>
      </w:r>
      <w:proofErr w:type="spellStart"/>
      <w:r w:rsidRPr="00946437">
        <w:rPr>
          <w:b/>
          <w:bCs/>
        </w:rPr>
        <w:t>Zelnick</w:t>
      </w:r>
      <w:proofErr w:type="spellEnd"/>
      <w:r w:rsidRPr="00946437">
        <w:rPr>
          <w:b/>
          <w:bCs/>
        </w:rPr>
        <w:t xml:space="preserve"> </w:t>
      </w:r>
      <w:r w:rsidRPr="00946437">
        <w:t xml:space="preserve">has been the CEO of Take-Two Interactive since 2011. </w:t>
      </w:r>
      <w:proofErr w:type="spellStart"/>
      <w:r w:rsidRPr="00946437">
        <w:t>Zelnick</w:t>
      </w:r>
      <w:proofErr w:type="spellEnd"/>
      <w:r w:rsidRPr="00946437">
        <w:t xml:space="preserve"> became the majority shareholder for Take-Two in 2007 when he became chairman, and later Chief Executive Officer in 2011. Before his time with Take-Two, </w:t>
      </w:r>
      <w:proofErr w:type="spellStart"/>
      <w:r w:rsidRPr="00946437">
        <w:t>Zelnick</w:t>
      </w:r>
      <w:proofErr w:type="spellEnd"/>
      <w:r w:rsidRPr="00946437">
        <w:t xml:space="preserve"> formed a private equity firm named </w:t>
      </w:r>
      <w:proofErr w:type="spellStart"/>
      <w:r w:rsidRPr="00946437">
        <w:t>ZelnickMedia</w:t>
      </w:r>
      <w:proofErr w:type="spellEnd"/>
      <w:r w:rsidRPr="00946437">
        <w:t xml:space="preserve"> and was previously the CEO of the now-defunct music and entertainment company BMG Entertainment. </w:t>
      </w:r>
      <w:proofErr w:type="spellStart"/>
      <w:r w:rsidRPr="00946437">
        <w:t>Zelnick</w:t>
      </w:r>
      <w:proofErr w:type="spellEnd"/>
      <w:r w:rsidRPr="00946437">
        <w:t xml:space="preserve"> has been in the media and entertainment industry since the late 1980s.</w:t>
      </w:r>
    </w:p>
    <w:p w14:paraId="6A6D5820" w14:textId="2B9D199E" w:rsidR="00354675" w:rsidRDefault="007C5939" w:rsidP="002525CB">
      <w:r>
        <w:rPr>
          <w:b/>
          <w:bCs/>
        </w:rPr>
        <w:t xml:space="preserve">Board of Directors and Executives: </w:t>
      </w:r>
      <w:r w:rsidR="002525CB">
        <w:t>There are eight members in the board of directors, as well as six executives, comprising an average age of 58 years old.</w:t>
      </w:r>
      <w:r w:rsidR="00FF3943">
        <w:t xml:space="preserve"> </w:t>
      </w:r>
      <w:r w:rsidR="002525CB">
        <w:t xml:space="preserve">The board members come from diverse business backgrounds with an abundance of leadership experience, </w:t>
      </w:r>
      <w:r w:rsidR="00FF3943">
        <w:t>providing</w:t>
      </w:r>
      <w:r w:rsidR="002525CB">
        <w:t xml:space="preserve"> expertise in a variety of fields.</w:t>
      </w:r>
    </w:p>
    <w:p w14:paraId="27D701FD" w14:textId="2BF0DC95" w:rsidR="006A2D3C" w:rsidRDefault="006A2D3C" w:rsidP="00F95EEB">
      <w:r w:rsidRPr="006A2D3C">
        <w:rPr>
          <w:b/>
          <w:bCs/>
        </w:rPr>
        <w:t xml:space="preserve">Compensation: </w:t>
      </w:r>
      <w:proofErr w:type="spellStart"/>
      <w:r>
        <w:t>Zelnick</w:t>
      </w:r>
      <w:proofErr w:type="spellEnd"/>
      <w:r>
        <w:t xml:space="preserve"> himself doesn’t earn a direct salary from Take-Two but instead earns money from the management fees that Take-Two pays to </w:t>
      </w:r>
      <w:proofErr w:type="spellStart"/>
      <w:r>
        <w:t>ZelnickMedia</w:t>
      </w:r>
      <w:proofErr w:type="spellEnd"/>
      <w:r>
        <w:t xml:space="preserve">. </w:t>
      </w:r>
      <w:proofErr w:type="spellStart"/>
      <w:r>
        <w:t>Zelnick</w:t>
      </w:r>
      <w:proofErr w:type="spellEnd"/>
      <w:r>
        <w:t xml:space="preserve"> </w:t>
      </w:r>
      <w:r w:rsidR="005D6A0A">
        <w:t>receives</w:t>
      </w:r>
      <w:r>
        <w:t xml:space="preserve"> compensat</w:t>
      </w:r>
      <w:r w:rsidR="005D6A0A">
        <w:t>ion</w:t>
      </w:r>
      <w:r w:rsidR="003D55BA">
        <w:t xml:space="preserve"> in cash and</w:t>
      </w:r>
      <w:r w:rsidR="00291514">
        <w:t xml:space="preserve"> </w:t>
      </w:r>
      <w:r>
        <w:t xml:space="preserve">stock awards as the owner of </w:t>
      </w:r>
      <w:proofErr w:type="spellStart"/>
      <w:r>
        <w:t>ZelnickMedia</w:t>
      </w:r>
      <w:proofErr w:type="spellEnd"/>
      <w:r>
        <w:t>.</w:t>
      </w:r>
    </w:p>
    <w:p w14:paraId="134C18C1" w14:textId="77777777" w:rsidR="00C15C79" w:rsidRDefault="00C15C79" w:rsidP="00453603">
      <w:pPr>
        <w:rPr>
          <w:b/>
          <w:bCs/>
          <w:color w:val="2F5496" w:themeColor="accent1" w:themeShade="BF"/>
          <w:sz w:val="28"/>
          <w:szCs w:val="28"/>
          <w:u w:val="single"/>
        </w:rPr>
      </w:pPr>
    </w:p>
    <w:p w14:paraId="6CCEBC3A" w14:textId="4B1F855D" w:rsidR="00453603" w:rsidRPr="00453603" w:rsidRDefault="00453603" w:rsidP="00453603">
      <w:pPr>
        <w:rPr>
          <w:b/>
          <w:bCs/>
          <w:color w:val="2F5496" w:themeColor="accent1" w:themeShade="BF"/>
          <w:sz w:val="28"/>
          <w:szCs w:val="28"/>
          <w:u w:val="single"/>
        </w:rPr>
      </w:pPr>
      <w:r w:rsidRPr="00453603">
        <w:rPr>
          <w:b/>
          <w:bCs/>
          <w:color w:val="2F5496" w:themeColor="accent1" w:themeShade="BF"/>
          <w:sz w:val="28"/>
          <w:szCs w:val="28"/>
          <w:u w:val="single"/>
        </w:rPr>
        <w:t>Valuation</w:t>
      </w:r>
    </w:p>
    <w:p w14:paraId="5217E3A5" w14:textId="5BC7FB8D" w:rsidR="00453603" w:rsidRDefault="00453603" w:rsidP="00453603">
      <w:r w:rsidRPr="00623F60">
        <w:t>To</w:t>
      </w:r>
      <w:r>
        <w:t xml:space="preserve"> understand and properly valuate Take-Two Interactive an</w:t>
      </w:r>
      <w:r w:rsidR="00450D74">
        <w:t>d</w:t>
      </w:r>
      <w:r>
        <w:t xml:space="preserve"> its shares, we </w:t>
      </w:r>
      <w:r w:rsidR="00450D74">
        <w:t>used</w:t>
      </w:r>
      <w:r>
        <w:t xml:space="preserve"> a combination of the discounted cash flow model and multiples method.</w:t>
      </w:r>
      <w:r w:rsidR="00450D74">
        <w:t xml:space="preserve"> </w:t>
      </w:r>
    </w:p>
    <w:p w14:paraId="79852467" w14:textId="77777777" w:rsidR="00453603" w:rsidRPr="00A10515" w:rsidRDefault="00453603" w:rsidP="00453603">
      <w:pPr>
        <w:rPr>
          <w:b/>
          <w:bCs/>
        </w:rPr>
      </w:pPr>
      <w:r w:rsidRPr="00A10515">
        <w:rPr>
          <w:b/>
          <w:bCs/>
        </w:rPr>
        <w:t xml:space="preserve">Discounted Cash Flow: </w:t>
      </w:r>
    </w:p>
    <w:p w14:paraId="03D2801A" w14:textId="77777777" w:rsidR="00453603" w:rsidRDefault="00453603" w:rsidP="00453603">
      <w:r>
        <w:rPr>
          <w:noProof/>
        </w:rPr>
        <w:drawing>
          <wp:inline distT="0" distB="0" distL="0" distR="0" wp14:anchorId="65FF3229" wp14:editId="0A344A9B">
            <wp:extent cx="5943600" cy="1915795"/>
            <wp:effectExtent l="0" t="0" r="0" b="825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915795"/>
                    </a:xfrm>
                    <a:prstGeom prst="rect">
                      <a:avLst/>
                    </a:prstGeom>
                  </pic:spPr>
                </pic:pic>
              </a:graphicData>
            </a:graphic>
          </wp:inline>
        </w:drawing>
      </w:r>
    </w:p>
    <w:p w14:paraId="3D892283" w14:textId="77777777" w:rsidR="00453603" w:rsidRDefault="00453603" w:rsidP="00453603">
      <w:r>
        <w:rPr>
          <w:noProof/>
        </w:rPr>
        <w:drawing>
          <wp:inline distT="0" distB="0" distL="0" distR="0" wp14:anchorId="131ECB84" wp14:editId="1F724B11">
            <wp:extent cx="5943600" cy="1525270"/>
            <wp:effectExtent l="0" t="0" r="0" b="0"/>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1525270"/>
                    </a:xfrm>
                    <a:prstGeom prst="rect">
                      <a:avLst/>
                    </a:prstGeom>
                  </pic:spPr>
                </pic:pic>
              </a:graphicData>
            </a:graphic>
          </wp:inline>
        </w:drawing>
      </w:r>
    </w:p>
    <w:p w14:paraId="50FDD6DA" w14:textId="06793E35" w:rsidR="00453603" w:rsidRDefault="007B78B8" w:rsidP="00453603">
      <w:r>
        <w:t>With our</w:t>
      </w:r>
      <w:r w:rsidR="00453603">
        <w:t xml:space="preserve"> discounted cash flow </w:t>
      </w:r>
      <w:r>
        <w:t>model,</w:t>
      </w:r>
      <w:r w:rsidR="00453603">
        <w:t xml:space="preserve"> we </w:t>
      </w:r>
      <w:r>
        <w:t>determined</w:t>
      </w:r>
      <w:r w:rsidR="00453603">
        <w:t xml:space="preserve"> a total market valuation of $20,201,140,000</w:t>
      </w:r>
      <w:r>
        <w:t>;</w:t>
      </w:r>
      <w:r w:rsidR="00453603">
        <w:t xml:space="preserve"> </w:t>
      </w:r>
      <w:r>
        <w:t>around</w:t>
      </w:r>
      <w:r w:rsidR="00453603">
        <w:t xml:space="preserve"> $180 per share</w:t>
      </w:r>
      <w:r w:rsidR="00FC4904">
        <w:t>, a</w:t>
      </w:r>
      <w:r w:rsidR="00453603">
        <w:t xml:space="preserve">n increase of over $20 per share. </w:t>
      </w:r>
      <w:r w:rsidR="00A10515">
        <w:t>With a price target of $180 achieved from th</w:t>
      </w:r>
      <w:r w:rsidR="00453603">
        <w:t>is method, Take-Two is a clear buy.</w:t>
      </w:r>
    </w:p>
    <w:p w14:paraId="6195E6C3" w14:textId="0EDB2DBE" w:rsidR="00A10515" w:rsidRDefault="00453603" w:rsidP="00F95EEB">
      <w:r w:rsidRPr="000F184C">
        <w:rPr>
          <w:b/>
          <w:bCs/>
        </w:rPr>
        <w:t>Multiples Method:</w:t>
      </w:r>
      <w:r>
        <w:t xml:space="preserve"> Looking at the PE ratios of the four major competitors in this sector using the multiples method, we see that Take-Two (29.4) and Ubisoft (26.8) are trading at a premium. This could indicate that Take-Two may be overpriced, however other indicators discussed will outweigh this valuation.</w:t>
      </w:r>
    </w:p>
    <w:p w14:paraId="09768A00" w14:textId="169F0B89" w:rsidR="007B78B8" w:rsidRPr="007B78B8" w:rsidRDefault="007B78B8" w:rsidP="00F95EEB">
      <w:r>
        <w:rPr>
          <w:b/>
          <w:bCs/>
        </w:rPr>
        <w:t xml:space="preserve">Recommendation: </w:t>
      </w:r>
      <w:r>
        <w:t>With our valuation we achieved an overall price target of $180, which determines that Take-Two Interactive is</w:t>
      </w:r>
      <w:r>
        <w:rPr>
          <w:b/>
          <w:bCs/>
        </w:rPr>
        <w:t xml:space="preserve"> </w:t>
      </w:r>
      <w:r>
        <w:t xml:space="preserve">a </w:t>
      </w:r>
      <w:r w:rsidRPr="007B78B8">
        <w:rPr>
          <w:b/>
          <w:bCs/>
          <w:highlight w:val="green"/>
        </w:rPr>
        <w:t>BUY</w:t>
      </w:r>
    </w:p>
    <w:p w14:paraId="5BF411BF" w14:textId="77777777" w:rsidR="00A10515" w:rsidRDefault="00A10515" w:rsidP="00F95EEB">
      <w:pPr>
        <w:rPr>
          <w:b/>
          <w:bCs/>
          <w:u w:val="single"/>
        </w:rPr>
      </w:pPr>
    </w:p>
    <w:p w14:paraId="3555F935" w14:textId="77777777" w:rsidR="00A10515" w:rsidRDefault="00A10515" w:rsidP="00F95EEB">
      <w:pPr>
        <w:rPr>
          <w:b/>
          <w:bCs/>
          <w:u w:val="single"/>
        </w:rPr>
      </w:pPr>
    </w:p>
    <w:p w14:paraId="24D9CFA3" w14:textId="77777777" w:rsidR="00A10515" w:rsidRDefault="00A10515" w:rsidP="00F95EEB">
      <w:pPr>
        <w:rPr>
          <w:b/>
          <w:bCs/>
          <w:u w:val="single"/>
        </w:rPr>
      </w:pPr>
    </w:p>
    <w:p w14:paraId="2D8D01AC" w14:textId="77777777" w:rsidR="00A10515" w:rsidRDefault="00A10515" w:rsidP="00F95EEB">
      <w:pPr>
        <w:rPr>
          <w:b/>
          <w:bCs/>
          <w:u w:val="single"/>
        </w:rPr>
      </w:pPr>
    </w:p>
    <w:p w14:paraId="50BBA62B" w14:textId="77777777" w:rsidR="00A10515" w:rsidRDefault="00A10515" w:rsidP="00F95EEB">
      <w:pPr>
        <w:rPr>
          <w:b/>
          <w:bCs/>
          <w:u w:val="single"/>
        </w:rPr>
      </w:pPr>
    </w:p>
    <w:p w14:paraId="2C492BF6" w14:textId="15860006" w:rsidR="00A10515" w:rsidRPr="00C15C79" w:rsidRDefault="00C163AE" w:rsidP="00F95EEB">
      <w:pPr>
        <w:rPr>
          <w:b/>
          <w:bCs/>
          <w:color w:val="2F5496" w:themeColor="accent1" w:themeShade="BF"/>
          <w:sz w:val="28"/>
          <w:szCs w:val="28"/>
          <w:u w:val="single"/>
        </w:rPr>
      </w:pPr>
      <w:r w:rsidRPr="00C15C79">
        <w:rPr>
          <w:b/>
          <w:bCs/>
          <w:color w:val="2F5496" w:themeColor="accent1" w:themeShade="BF"/>
          <w:sz w:val="28"/>
          <w:szCs w:val="28"/>
          <w:u w:val="single"/>
        </w:rPr>
        <w:t xml:space="preserve">Stock </w:t>
      </w:r>
      <w:r w:rsidR="00F661DB" w:rsidRPr="00C15C79">
        <w:rPr>
          <w:b/>
          <w:bCs/>
          <w:color w:val="2F5496" w:themeColor="accent1" w:themeShade="BF"/>
          <w:sz w:val="28"/>
          <w:szCs w:val="28"/>
          <w:u w:val="single"/>
        </w:rPr>
        <w:t xml:space="preserve">Chart of </w:t>
      </w:r>
      <w:r w:rsidRPr="00C15C79">
        <w:rPr>
          <w:b/>
          <w:bCs/>
          <w:color w:val="2F5496" w:themeColor="accent1" w:themeShade="BF"/>
          <w:sz w:val="28"/>
          <w:szCs w:val="28"/>
          <w:u w:val="single"/>
        </w:rPr>
        <w:t xml:space="preserve">the YTD </w:t>
      </w:r>
      <w:r w:rsidR="00F661DB" w:rsidRPr="00C15C79">
        <w:rPr>
          <w:b/>
          <w:bCs/>
          <w:color w:val="2F5496" w:themeColor="accent1" w:themeShade="BF"/>
          <w:sz w:val="28"/>
          <w:szCs w:val="28"/>
          <w:u w:val="single"/>
        </w:rPr>
        <w:t>Stock Performance</w:t>
      </w:r>
    </w:p>
    <w:p w14:paraId="3296019C" w14:textId="41257982" w:rsidR="00324094" w:rsidRDefault="00D52F89" w:rsidP="00F95EEB">
      <w:r>
        <w:rPr>
          <w:noProof/>
        </w:rPr>
        <w:drawing>
          <wp:inline distT="0" distB="0" distL="0" distR="0" wp14:anchorId="068E5F6E" wp14:editId="786F7534">
            <wp:extent cx="6401738" cy="2333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3521" cy="2334275"/>
                    </a:xfrm>
                    <a:prstGeom prst="rect">
                      <a:avLst/>
                    </a:prstGeom>
                    <a:noFill/>
                    <a:ln>
                      <a:noFill/>
                    </a:ln>
                  </pic:spPr>
                </pic:pic>
              </a:graphicData>
            </a:graphic>
          </wp:inline>
        </w:drawing>
      </w:r>
    </w:p>
    <w:p w14:paraId="663F0260" w14:textId="6589788F" w:rsidR="003459A1" w:rsidRDefault="00744BEE" w:rsidP="00F95EEB">
      <w:r>
        <w:t xml:space="preserve">Utilizing the YTD stock performance graph, we can see that during COVID-19 and past the initial quarantine that Take-Two greatly outperforms the S&amp;P 500. Take-Two does follow the general trends that the S&amp;P 500 </w:t>
      </w:r>
      <w:r w:rsidR="00714FAA">
        <w:t>follow but</w:t>
      </w:r>
      <w:r>
        <w:t xml:space="preserve"> present a significantly higher growth over the same period.</w:t>
      </w:r>
      <w:r w:rsidR="00714FAA">
        <w:t xml:space="preserve"> </w:t>
      </w:r>
    </w:p>
    <w:p w14:paraId="4CD2CF04" w14:textId="79667266" w:rsidR="003459A1" w:rsidRPr="00C15C79" w:rsidRDefault="003459A1" w:rsidP="00F95EEB">
      <w:pPr>
        <w:rPr>
          <w:b/>
          <w:bCs/>
          <w:color w:val="2F5496" w:themeColor="accent1" w:themeShade="BF"/>
          <w:sz w:val="28"/>
          <w:szCs w:val="28"/>
          <w:u w:val="single"/>
        </w:rPr>
      </w:pPr>
      <w:r w:rsidRPr="00C15C79">
        <w:rPr>
          <w:b/>
          <w:bCs/>
          <w:color w:val="2F5496" w:themeColor="accent1" w:themeShade="BF"/>
          <w:sz w:val="28"/>
          <w:szCs w:val="28"/>
          <w:u w:val="single"/>
        </w:rPr>
        <w:t>Peer Analysis</w:t>
      </w:r>
    </w:p>
    <w:p w14:paraId="6A3FBD4C" w14:textId="60D129B6" w:rsidR="00292A95" w:rsidRPr="00292A95" w:rsidRDefault="00292A95" w:rsidP="00F95EEB">
      <w:r>
        <w:t xml:space="preserve">We found Take-Two Interactive’s three most comparable competitors and utilized various metrics to </w:t>
      </w:r>
      <w:r w:rsidR="007B5CE6">
        <w:t>compare their current market positions.</w:t>
      </w:r>
      <w:r w:rsidR="00A10515">
        <w:t xml:space="preserve"> </w:t>
      </w:r>
    </w:p>
    <w:tbl>
      <w:tblPr>
        <w:tblpPr w:leftFromText="180" w:rightFromText="180" w:vertAnchor="text" w:horzAnchor="margin" w:tblpXSpec="center" w:tblpY="196"/>
        <w:tblW w:w="10493" w:type="dxa"/>
        <w:tblLook w:val="04A0" w:firstRow="1" w:lastRow="0" w:firstColumn="1" w:lastColumn="0" w:noHBand="0" w:noVBand="1"/>
      </w:tblPr>
      <w:tblGrid>
        <w:gridCol w:w="2532"/>
        <w:gridCol w:w="1238"/>
        <w:gridCol w:w="2001"/>
        <w:gridCol w:w="2090"/>
        <w:gridCol w:w="1148"/>
        <w:gridCol w:w="1484"/>
      </w:tblGrid>
      <w:tr w:rsidR="007534E8" w:rsidRPr="007534E8" w14:paraId="0A4F8460" w14:textId="77777777" w:rsidTr="007534E8">
        <w:trPr>
          <w:trHeight w:val="297"/>
        </w:trPr>
        <w:tc>
          <w:tcPr>
            <w:tcW w:w="2532" w:type="dxa"/>
            <w:tcBorders>
              <w:top w:val="single" w:sz="4" w:space="0" w:color="8EA9DB"/>
              <w:left w:val="single" w:sz="4" w:space="0" w:color="8EA9DB"/>
              <w:bottom w:val="nil"/>
              <w:right w:val="nil"/>
            </w:tcBorders>
            <w:shd w:val="clear" w:color="4472C4" w:fill="4472C4"/>
            <w:noWrap/>
            <w:vAlign w:val="bottom"/>
            <w:hideMark/>
          </w:tcPr>
          <w:p w14:paraId="73F05248" w14:textId="77777777" w:rsidR="007534E8" w:rsidRPr="007534E8" w:rsidRDefault="007534E8" w:rsidP="007534E8">
            <w:pPr>
              <w:spacing w:after="0" w:line="240" w:lineRule="auto"/>
              <w:rPr>
                <w:rFonts w:ascii="Calibri" w:eastAsia="Times New Roman" w:hAnsi="Calibri" w:cs="Calibri"/>
                <w:b/>
                <w:bCs/>
                <w:color w:val="FFFFFF"/>
              </w:rPr>
            </w:pPr>
            <w:r w:rsidRPr="007534E8">
              <w:rPr>
                <w:rFonts w:ascii="Calibri" w:eastAsia="Times New Roman" w:hAnsi="Calibri" w:cs="Calibri"/>
                <w:b/>
                <w:bCs/>
                <w:color w:val="FFFFFF"/>
              </w:rPr>
              <w:t>Company</w:t>
            </w:r>
          </w:p>
        </w:tc>
        <w:tc>
          <w:tcPr>
            <w:tcW w:w="1238" w:type="dxa"/>
            <w:tcBorders>
              <w:top w:val="single" w:sz="4" w:space="0" w:color="8EA9DB"/>
              <w:left w:val="nil"/>
              <w:bottom w:val="nil"/>
              <w:right w:val="nil"/>
            </w:tcBorders>
            <w:shd w:val="clear" w:color="4472C4" w:fill="4472C4"/>
            <w:noWrap/>
            <w:vAlign w:val="bottom"/>
            <w:hideMark/>
          </w:tcPr>
          <w:p w14:paraId="65918F30" w14:textId="77777777" w:rsidR="007534E8" w:rsidRPr="007534E8" w:rsidRDefault="007534E8" w:rsidP="007534E8">
            <w:pPr>
              <w:spacing w:after="0" w:line="240" w:lineRule="auto"/>
              <w:rPr>
                <w:rFonts w:ascii="Calibri" w:eastAsia="Times New Roman" w:hAnsi="Calibri" w:cs="Calibri"/>
                <w:b/>
                <w:bCs/>
                <w:color w:val="FFFFFF"/>
              </w:rPr>
            </w:pPr>
            <w:r w:rsidRPr="007534E8">
              <w:rPr>
                <w:rFonts w:ascii="Calibri" w:eastAsia="Times New Roman" w:hAnsi="Calibri" w:cs="Calibri"/>
                <w:b/>
                <w:bCs/>
                <w:color w:val="FFFFFF"/>
              </w:rPr>
              <w:t>Price ($)</w:t>
            </w:r>
          </w:p>
        </w:tc>
        <w:tc>
          <w:tcPr>
            <w:tcW w:w="2001" w:type="dxa"/>
            <w:tcBorders>
              <w:top w:val="single" w:sz="4" w:space="0" w:color="8EA9DB"/>
              <w:left w:val="nil"/>
              <w:bottom w:val="nil"/>
              <w:right w:val="nil"/>
            </w:tcBorders>
            <w:shd w:val="clear" w:color="4472C4" w:fill="4472C4"/>
            <w:noWrap/>
            <w:vAlign w:val="bottom"/>
            <w:hideMark/>
          </w:tcPr>
          <w:p w14:paraId="1C2F082B" w14:textId="77777777" w:rsidR="007534E8" w:rsidRPr="007534E8" w:rsidRDefault="007534E8" w:rsidP="007534E8">
            <w:pPr>
              <w:spacing w:after="0" w:line="240" w:lineRule="auto"/>
              <w:rPr>
                <w:rFonts w:ascii="Calibri" w:eastAsia="Times New Roman" w:hAnsi="Calibri" w:cs="Calibri"/>
                <w:b/>
                <w:bCs/>
                <w:color w:val="FFFFFF"/>
              </w:rPr>
            </w:pPr>
            <w:r w:rsidRPr="007534E8">
              <w:rPr>
                <w:rFonts w:ascii="Calibri" w:eastAsia="Times New Roman" w:hAnsi="Calibri" w:cs="Calibri"/>
                <w:b/>
                <w:bCs/>
                <w:color w:val="FFFFFF"/>
              </w:rPr>
              <w:t>Market Cap (M)</w:t>
            </w:r>
          </w:p>
        </w:tc>
        <w:tc>
          <w:tcPr>
            <w:tcW w:w="2090" w:type="dxa"/>
            <w:tcBorders>
              <w:top w:val="single" w:sz="4" w:space="0" w:color="8EA9DB"/>
              <w:left w:val="nil"/>
              <w:bottom w:val="nil"/>
              <w:right w:val="nil"/>
            </w:tcBorders>
            <w:shd w:val="clear" w:color="4472C4" w:fill="4472C4"/>
            <w:noWrap/>
            <w:vAlign w:val="bottom"/>
            <w:hideMark/>
          </w:tcPr>
          <w:p w14:paraId="53592A65" w14:textId="77777777" w:rsidR="007534E8" w:rsidRPr="007534E8" w:rsidRDefault="007534E8" w:rsidP="007534E8">
            <w:pPr>
              <w:spacing w:after="0" w:line="240" w:lineRule="auto"/>
              <w:rPr>
                <w:rFonts w:ascii="Calibri" w:eastAsia="Times New Roman" w:hAnsi="Calibri" w:cs="Calibri"/>
                <w:b/>
                <w:bCs/>
                <w:color w:val="FFFFFF"/>
              </w:rPr>
            </w:pPr>
            <w:r w:rsidRPr="007534E8">
              <w:rPr>
                <w:rFonts w:ascii="Calibri" w:eastAsia="Times New Roman" w:hAnsi="Calibri" w:cs="Calibri"/>
                <w:b/>
                <w:bCs/>
                <w:color w:val="FFFFFF"/>
              </w:rPr>
              <w:t>Sales Recent FY (M)</w:t>
            </w:r>
          </w:p>
        </w:tc>
        <w:tc>
          <w:tcPr>
            <w:tcW w:w="1148" w:type="dxa"/>
            <w:tcBorders>
              <w:top w:val="single" w:sz="4" w:space="0" w:color="8EA9DB"/>
              <w:left w:val="nil"/>
              <w:bottom w:val="nil"/>
              <w:right w:val="nil"/>
            </w:tcBorders>
            <w:shd w:val="clear" w:color="4472C4" w:fill="4472C4"/>
            <w:noWrap/>
            <w:vAlign w:val="bottom"/>
            <w:hideMark/>
          </w:tcPr>
          <w:p w14:paraId="1EBC3731" w14:textId="77777777" w:rsidR="007534E8" w:rsidRPr="007534E8" w:rsidRDefault="007534E8" w:rsidP="007534E8">
            <w:pPr>
              <w:spacing w:after="0" w:line="240" w:lineRule="auto"/>
              <w:rPr>
                <w:rFonts w:ascii="Calibri" w:eastAsia="Times New Roman" w:hAnsi="Calibri" w:cs="Calibri"/>
                <w:b/>
                <w:bCs/>
                <w:color w:val="FFFFFF"/>
              </w:rPr>
            </w:pPr>
            <w:r w:rsidRPr="007534E8">
              <w:rPr>
                <w:rFonts w:ascii="Calibri" w:eastAsia="Times New Roman" w:hAnsi="Calibri" w:cs="Calibri"/>
                <w:b/>
                <w:bCs/>
                <w:color w:val="FFFFFF"/>
              </w:rPr>
              <w:t>PE (NTM)</w:t>
            </w:r>
          </w:p>
        </w:tc>
        <w:tc>
          <w:tcPr>
            <w:tcW w:w="1484" w:type="dxa"/>
            <w:tcBorders>
              <w:top w:val="single" w:sz="4" w:space="0" w:color="8EA9DB"/>
              <w:left w:val="nil"/>
              <w:bottom w:val="nil"/>
              <w:right w:val="single" w:sz="4" w:space="0" w:color="8EA9DB"/>
            </w:tcBorders>
            <w:shd w:val="clear" w:color="4472C4" w:fill="4472C4"/>
            <w:noWrap/>
            <w:vAlign w:val="bottom"/>
            <w:hideMark/>
          </w:tcPr>
          <w:p w14:paraId="359E05C1" w14:textId="77777777" w:rsidR="007534E8" w:rsidRPr="007534E8" w:rsidRDefault="007534E8" w:rsidP="007534E8">
            <w:pPr>
              <w:spacing w:after="0" w:line="240" w:lineRule="auto"/>
              <w:rPr>
                <w:rFonts w:ascii="Calibri" w:eastAsia="Times New Roman" w:hAnsi="Calibri" w:cs="Calibri"/>
                <w:b/>
                <w:bCs/>
                <w:color w:val="FFFFFF"/>
              </w:rPr>
            </w:pPr>
            <w:r w:rsidRPr="007534E8">
              <w:rPr>
                <w:rFonts w:ascii="Calibri" w:eastAsia="Times New Roman" w:hAnsi="Calibri" w:cs="Calibri"/>
                <w:b/>
                <w:bCs/>
                <w:color w:val="FFFFFF"/>
              </w:rPr>
              <w:t>PEG (NTM)</w:t>
            </w:r>
          </w:p>
        </w:tc>
      </w:tr>
      <w:tr w:rsidR="007534E8" w:rsidRPr="007534E8" w14:paraId="18DD567F" w14:textId="77777777" w:rsidTr="007534E8">
        <w:trPr>
          <w:trHeight w:val="297"/>
        </w:trPr>
        <w:tc>
          <w:tcPr>
            <w:tcW w:w="2532" w:type="dxa"/>
            <w:tcBorders>
              <w:top w:val="single" w:sz="4" w:space="0" w:color="8EA9DB"/>
              <w:left w:val="single" w:sz="4" w:space="0" w:color="8EA9DB"/>
              <w:bottom w:val="nil"/>
              <w:right w:val="nil"/>
            </w:tcBorders>
            <w:shd w:val="clear" w:color="D9E1F2" w:fill="D9E1F2"/>
            <w:noWrap/>
            <w:vAlign w:val="bottom"/>
            <w:hideMark/>
          </w:tcPr>
          <w:p w14:paraId="27960063" w14:textId="77777777" w:rsidR="007534E8" w:rsidRPr="007534E8" w:rsidRDefault="007534E8" w:rsidP="007534E8">
            <w:pPr>
              <w:spacing w:after="0" w:line="240" w:lineRule="auto"/>
              <w:rPr>
                <w:rFonts w:ascii="Calibri" w:eastAsia="Times New Roman" w:hAnsi="Calibri" w:cs="Calibri"/>
                <w:color w:val="000000"/>
              </w:rPr>
            </w:pPr>
            <w:r w:rsidRPr="007534E8">
              <w:rPr>
                <w:rFonts w:ascii="Calibri" w:eastAsia="Times New Roman" w:hAnsi="Calibri" w:cs="Calibri"/>
                <w:color w:val="000000"/>
              </w:rPr>
              <w:t>Take-Two Interactive</w:t>
            </w:r>
          </w:p>
        </w:tc>
        <w:tc>
          <w:tcPr>
            <w:tcW w:w="1238" w:type="dxa"/>
            <w:tcBorders>
              <w:top w:val="single" w:sz="4" w:space="0" w:color="8EA9DB"/>
              <w:left w:val="nil"/>
              <w:bottom w:val="nil"/>
              <w:right w:val="nil"/>
            </w:tcBorders>
            <w:shd w:val="clear" w:color="D9E1F2" w:fill="D9E1F2"/>
            <w:noWrap/>
            <w:vAlign w:val="bottom"/>
            <w:hideMark/>
          </w:tcPr>
          <w:p w14:paraId="4099A191" w14:textId="77777777" w:rsidR="007534E8" w:rsidRPr="007534E8" w:rsidRDefault="007534E8" w:rsidP="007534E8">
            <w:pPr>
              <w:spacing w:after="0" w:line="240" w:lineRule="auto"/>
              <w:rPr>
                <w:rFonts w:ascii="Calibri" w:eastAsia="Times New Roman" w:hAnsi="Calibri" w:cs="Calibri"/>
                <w:color w:val="000000"/>
              </w:rPr>
            </w:pPr>
            <w:r w:rsidRPr="007534E8">
              <w:rPr>
                <w:rFonts w:ascii="Calibri" w:eastAsia="Times New Roman" w:hAnsi="Calibri" w:cs="Calibri"/>
                <w:color w:val="000000"/>
              </w:rPr>
              <w:t xml:space="preserve"> $ 154.03 </w:t>
            </w:r>
          </w:p>
        </w:tc>
        <w:tc>
          <w:tcPr>
            <w:tcW w:w="2001" w:type="dxa"/>
            <w:tcBorders>
              <w:top w:val="single" w:sz="4" w:space="0" w:color="8EA9DB"/>
              <w:left w:val="nil"/>
              <w:bottom w:val="nil"/>
              <w:right w:val="nil"/>
            </w:tcBorders>
            <w:shd w:val="clear" w:color="D9E1F2" w:fill="D9E1F2"/>
            <w:noWrap/>
            <w:vAlign w:val="bottom"/>
            <w:hideMark/>
          </w:tcPr>
          <w:p w14:paraId="60D81C14" w14:textId="77777777" w:rsidR="007534E8" w:rsidRPr="007534E8" w:rsidRDefault="007534E8" w:rsidP="007534E8">
            <w:pPr>
              <w:spacing w:after="0" w:line="240" w:lineRule="auto"/>
              <w:rPr>
                <w:rFonts w:ascii="Calibri" w:eastAsia="Times New Roman" w:hAnsi="Calibri" w:cs="Calibri"/>
                <w:color w:val="000000"/>
              </w:rPr>
            </w:pPr>
            <w:r w:rsidRPr="007534E8">
              <w:rPr>
                <w:rFonts w:ascii="Calibri" w:eastAsia="Times New Roman" w:hAnsi="Calibri" w:cs="Calibri"/>
                <w:color w:val="000000"/>
              </w:rPr>
              <w:t xml:space="preserve"> $ 17,713 </w:t>
            </w:r>
          </w:p>
        </w:tc>
        <w:tc>
          <w:tcPr>
            <w:tcW w:w="2090" w:type="dxa"/>
            <w:tcBorders>
              <w:top w:val="single" w:sz="4" w:space="0" w:color="8EA9DB"/>
              <w:left w:val="nil"/>
              <w:bottom w:val="nil"/>
              <w:right w:val="nil"/>
            </w:tcBorders>
            <w:shd w:val="clear" w:color="D9E1F2" w:fill="D9E1F2"/>
            <w:noWrap/>
            <w:vAlign w:val="bottom"/>
            <w:hideMark/>
          </w:tcPr>
          <w:p w14:paraId="5DBA1463" w14:textId="77777777" w:rsidR="007534E8" w:rsidRPr="007534E8" w:rsidRDefault="007534E8" w:rsidP="007534E8">
            <w:pPr>
              <w:spacing w:after="0" w:line="240" w:lineRule="auto"/>
              <w:rPr>
                <w:rFonts w:ascii="Calibri" w:eastAsia="Times New Roman" w:hAnsi="Calibri" w:cs="Calibri"/>
                <w:color w:val="000000"/>
              </w:rPr>
            </w:pPr>
            <w:r w:rsidRPr="007534E8">
              <w:rPr>
                <w:rFonts w:ascii="Calibri" w:eastAsia="Times New Roman" w:hAnsi="Calibri" w:cs="Calibri"/>
                <w:color w:val="000000"/>
              </w:rPr>
              <w:t xml:space="preserve"> $ 2,990 </w:t>
            </w:r>
          </w:p>
        </w:tc>
        <w:tc>
          <w:tcPr>
            <w:tcW w:w="1148" w:type="dxa"/>
            <w:tcBorders>
              <w:top w:val="single" w:sz="4" w:space="0" w:color="8EA9DB"/>
              <w:left w:val="nil"/>
              <w:bottom w:val="nil"/>
              <w:right w:val="nil"/>
            </w:tcBorders>
            <w:shd w:val="clear" w:color="D9E1F2" w:fill="D9E1F2"/>
            <w:noWrap/>
            <w:vAlign w:val="bottom"/>
            <w:hideMark/>
          </w:tcPr>
          <w:p w14:paraId="46AD1419" w14:textId="77777777" w:rsidR="007534E8" w:rsidRPr="007534E8" w:rsidRDefault="007534E8" w:rsidP="007534E8">
            <w:pPr>
              <w:spacing w:after="0" w:line="240" w:lineRule="auto"/>
              <w:jc w:val="center"/>
              <w:rPr>
                <w:rFonts w:ascii="Calibri" w:eastAsia="Times New Roman" w:hAnsi="Calibri" w:cs="Calibri"/>
                <w:color w:val="000000"/>
              </w:rPr>
            </w:pPr>
            <w:r w:rsidRPr="007534E8">
              <w:rPr>
                <w:rFonts w:ascii="Calibri" w:eastAsia="Times New Roman" w:hAnsi="Calibri" w:cs="Calibri"/>
                <w:color w:val="000000"/>
              </w:rPr>
              <w:t>29.4</w:t>
            </w:r>
          </w:p>
        </w:tc>
        <w:tc>
          <w:tcPr>
            <w:tcW w:w="1484" w:type="dxa"/>
            <w:tcBorders>
              <w:top w:val="single" w:sz="4" w:space="0" w:color="8EA9DB"/>
              <w:left w:val="nil"/>
              <w:bottom w:val="nil"/>
              <w:right w:val="single" w:sz="4" w:space="0" w:color="8EA9DB"/>
            </w:tcBorders>
            <w:shd w:val="clear" w:color="D9E1F2" w:fill="D9E1F2"/>
            <w:noWrap/>
            <w:vAlign w:val="bottom"/>
            <w:hideMark/>
          </w:tcPr>
          <w:p w14:paraId="78E8DFC4" w14:textId="77777777" w:rsidR="007534E8" w:rsidRPr="007534E8" w:rsidRDefault="007534E8" w:rsidP="007534E8">
            <w:pPr>
              <w:spacing w:after="0" w:line="240" w:lineRule="auto"/>
              <w:jc w:val="center"/>
              <w:rPr>
                <w:rFonts w:ascii="Calibri" w:eastAsia="Times New Roman" w:hAnsi="Calibri" w:cs="Calibri"/>
                <w:color w:val="000000"/>
              </w:rPr>
            </w:pPr>
            <w:r w:rsidRPr="007534E8">
              <w:rPr>
                <w:rFonts w:ascii="Calibri" w:eastAsia="Times New Roman" w:hAnsi="Calibri" w:cs="Calibri"/>
                <w:color w:val="000000"/>
              </w:rPr>
              <w:t>3.8</w:t>
            </w:r>
          </w:p>
        </w:tc>
      </w:tr>
      <w:tr w:rsidR="007534E8" w:rsidRPr="007534E8" w14:paraId="7FFC9FE6" w14:textId="77777777" w:rsidTr="007534E8">
        <w:trPr>
          <w:trHeight w:val="297"/>
        </w:trPr>
        <w:tc>
          <w:tcPr>
            <w:tcW w:w="2532" w:type="dxa"/>
            <w:tcBorders>
              <w:top w:val="single" w:sz="4" w:space="0" w:color="8EA9DB"/>
              <w:left w:val="single" w:sz="4" w:space="0" w:color="8EA9DB"/>
              <w:bottom w:val="nil"/>
              <w:right w:val="nil"/>
            </w:tcBorders>
            <w:shd w:val="clear" w:color="auto" w:fill="auto"/>
            <w:noWrap/>
            <w:vAlign w:val="bottom"/>
            <w:hideMark/>
          </w:tcPr>
          <w:p w14:paraId="7E4BF603" w14:textId="77777777" w:rsidR="007534E8" w:rsidRPr="007534E8" w:rsidRDefault="007534E8" w:rsidP="007534E8">
            <w:pPr>
              <w:spacing w:after="0" w:line="240" w:lineRule="auto"/>
              <w:rPr>
                <w:rFonts w:ascii="Calibri" w:eastAsia="Times New Roman" w:hAnsi="Calibri" w:cs="Calibri"/>
                <w:color w:val="000000"/>
              </w:rPr>
            </w:pPr>
            <w:r w:rsidRPr="007534E8">
              <w:rPr>
                <w:rFonts w:ascii="Calibri" w:eastAsia="Times New Roman" w:hAnsi="Calibri" w:cs="Calibri"/>
                <w:color w:val="000000"/>
              </w:rPr>
              <w:t>Activision Blizzard</w:t>
            </w:r>
          </w:p>
        </w:tc>
        <w:tc>
          <w:tcPr>
            <w:tcW w:w="1238" w:type="dxa"/>
            <w:tcBorders>
              <w:top w:val="single" w:sz="4" w:space="0" w:color="8EA9DB"/>
              <w:left w:val="nil"/>
              <w:bottom w:val="nil"/>
              <w:right w:val="nil"/>
            </w:tcBorders>
            <w:shd w:val="clear" w:color="auto" w:fill="auto"/>
            <w:noWrap/>
            <w:vAlign w:val="bottom"/>
            <w:hideMark/>
          </w:tcPr>
          <w:p w14:paraId="4329D3EA" w14:textId="77777777" w:rsidR="007534E8" w:rsidRPr="007534E8" w:rsidRDefault="007534E8" w:rsidP="007534E8">
            <w:pPr>
              <w:spacing w:after="0" w:line="240" w:lineRule="auto"/>
              <w:rPr>
                <w:rFonts w:ascii="Calibri" w:eastAsia="Times New Roman" w:hAnsi="Calibri" w:cs="Calibri"/>
                <w:color w:val="000000"/>
              </w:rPr>
            </w:pPr>
            <w:r w:rsidRPr="007534E8">
              <w:rPr>
                <w:rFonts w:ascii="Calibri" w:eastAsia="Times New Roman" w:hAnsi="Calibri" w:cs="Calibri"/>
                <w:color w:val="000000"/>
              </w:rPr>
              <w:t xml:space="preserve"> $ 75.73 </w:t>
            </w:r>
          </w:p>
        </w:tc>
        <w:tc>
          <w:tcPr>
            <w:tcW w:w="2001" w:type="dxa"/>
            <w:tcBorders>
              <w:top w:val="single" w:sz="4" w:space="0" w:color="8EA9DB"/>
              <w:left w:val="nil"/>
              <w:bottom w:val="nil"/>
              <w:right w:val="nil"/>
            </w:tcBorders>
            <w:shd w:val="clear" w:color="auto" w:fill="auto"/>
            <w:noWrap/>
            <w:vAlign w:val="bottom"/>
            <w:hideMark/>
          </w:tcPr>
          <w:p w14:paraId="36B3978B" w14:textId="77777777" w:rsidR="007534E8" w:rsidRPr="007534E8" w:rsidRDefault="007534E8" w:rsidP="007534E8">
            <w:pPr>
              <w:spacing w:after="0" w:line="240" w:lineRule="auto"/>
              <w:rPr>
                <w:rFonts w:ascii="Calibri" w:eastAsia="Times New Roman" w:hAnsi="Calibri" w:cs="Calibri"/>
                <w:color w:val="000000"/>
              </w:rPr>
            </w:pPr>
            <w:r w:rsidRPr="007534E8">
              <w:rPr>
                <w:rFonts w:ascii="Calibri" w:eastAsia="Times New Roman" w:hAnsi="Calibri" w:cs="Calibri"/>
                <w:color w:val="000000"/>
              </w:rPr>
              <w:t xml:space="preserve"> $ 58,528 </w:t>
            </w:r>
          </w:p>
        </w:tc>
        <w:tc>
          <w:tcPr>
            <w:tcW w:w="2090" w:type="dxa"/>
            <w:tcBorders>
              <w:top w:val="single" w:sz="4" w:space="0" w:color="8EA9DB"/>
              <w:left w:val="nil"/>
              <w:bottom w:val="nil"/>
              <w:right w:val="nil"/>
            </w:tcBorders>
            <w:shd w:val="clear" w:color="auto" w:fill="auto"/>
            <w:noWrap/>
            <w:vAlign w:val="bottom"/>
            <w:hideMark/>
          </w:tcPr>
          <w:p w14:paraId="22C979AD" w14:textId="77777777" w:rsidR="007534E8" w:rsidRPr="007534E8" w:rsidRDefault="007534E8" w:rsidP="007534E8">
            <w:pPr>
              <w:spacing w:after="0" w:line="240" w:lineRule="auto"/>
              <w:rPr>
                <w:rFonts w:ascii="Calibri" w:eastAsia="Times New Roman" w:hAnsi="Calibri" w:cs="Calibri"/>
                <w:color w:val="000000"/>
              </w:rPr>
            </w:pPr>
            <w:r w:rsidRPr="007534E8">
              <w:rPr>
                <w:rFonts w:ascii="Calibri" w:eastAsia="Times New Roman" w:hAnsi="Calibri" w:cs="Calibri"/>
                <w:color w:val="000000"/>
              </w:rPr>
              <w:t xml:space="preserve"> $ 6,450 </w:t>
            </w:r>
          </w:p>
        </w:tc>
        <w:tc>
          <w:tcPr>
            <w:tcW w:w="1148" w:type="dxa"/>
            <w:tcBorders>
              <w:top w:val="single" w:sz="4" w:space="0" w:color="8EA9DB"/>
              <w:left w:val="nil"/>
              <w:bottom w:val="nil"/>
              <w:right w:val="nil"/>
            </w:tcBorders>
            <w:shd w:val="clear" w:color="auto" w:fill="auto"/>
            <w:noWrap/>
            <w:vAlign w:val="bottom"/>
            <w:hideMark/>
          </w:tcPr>
          <w:p w14:paraId="264DB4F2" w14:textId="77777777" w:rsidR="007534E8" w:rsidRPr="007534E8" w:rsidRDefault="007534E8" w:rsidP="007534E8">
            <w:pPr>
              <w:spacing w:after="0" w:line="240" w:lineRule="auto"/>
              <w:jc w:val="center"/>
              <w:rPr>
                <w:rFonts w:ascii="Calibri" w:eastAsia="Times New Roman" w:hAnsi="Calibri" w:cs="Calibri"/>
                <w:color w:val="000000"/>
              </w:rPr>
            </w:pPr>
            <w:r w:rsidRPr="007534E8">
              <w:rPr>
                <w:rFonts w:ascii="Calibri" w:eastAsia="Times New Roman" w:hAnsi="Calibri" w:cs="Calibri"/>
                <w:color w:val="000000"/>
              </w:rPr>
              <w:t>21.5</w:t>
            </w:r>
          </w:p>
        </w:tc>
        <w:tc>
          <w:tcPr>
            <w:tcW w:w="1484" w:type="dxa"/>
            <w:tcBorders>
              <w:top w:val="single" w:sz="4" w:space="0" w:color="8EA9DB"/>
              <w:left w:val="nil"/>
              <w:bottom w:val="nil"/>
              <w:right w:val="single" w:sz="4" w:space="0" w:color="8EA9DB"/>
            </w:tcBorders>
            <w:shd w:val="clear" w:color="auto" w:fill="auto"/>
            <w:noWrap/>
            <w:vAlign w:val="bottom"/>
            <w:hideMark/>
          </w:tcPr>
          <w:p w14:paraId="0E236C41" w14:textId="77777777" w:rsidR="007534E8" w:rsidRPr="007534E8" w:rsidRDefault="007534E8" w:rsidP="007534E8">
            <w:pPr>
              <w:spacing w:after="0" w:line="240" w:lineRule="auto"/>
              <w:jc w:val="center"/>
              <w:rPr>
                <w:rFonts w:ascii="Calibri" w:eastAsia="Times New Roman" w:hAnsi="Calibri" w:cs="Calibri"/>
                <w:color w:val="000000"/>
              </w:rPr>
            </w:pPr>
            <w:r w:rsidRPr="007534E8">
              <w:rPr>
                <w:rFonts w:ascii="Calibri" w:eastAsia="Times New Roman" w:hAnsi="Calibri" w:cs="Calibri"/>
                <w:color w:val="000000"/>
              </w:rPr>
              <w:t>1.6</w:t>
            </w:r>
          </w:p>
        </w:tc>
      </w:tr>
      <w:tr w:rsidR="007534E8" w:rsidRPr="007534E8" w14:paraId="039A1CA5" w14:textId="77777777" w:rsidTr="007534E8">
        <w:trPr>
          <w:trHeight w:val="297"/>
        </w:trPr>
        <w:tc>
          <w:tcPr>
            <w:tcW w:w="2532" w:type="dxa"/>
            <w:tcBorders>
              <w:top w:val="single" w:sz="4" w:space="0" w:color="8EA9DB"/>
              <w:left w:val="single" w:sz="4" w:space="0" w:color="8EA9DB"/>
              <w:bottom w:val="nil"/>
              <w:right w:val="nil"/>
            </w:tcBorders>
            <w:shd w:val="clear" w:color="D9E1F2" w:fill="D9E1F2"/>
            <w:noWrap/>
            <w:vAlign w:val="bottom"/>
            <w:hideMark/>
          </w:tcPr>
          <w:p w14:paraId="198F33CB" w14:textId="77777777" w:rsidR="007534E8" w:rsidRPr="007534E8" w:rsidRDefault="007534E8" w:rsidP="007534E8">
            <w:pPr>
              <w:spacing w:after="0" w:line="240" w:lineRule="auto"/>
              <w:rPr>
                <w:rFonts w:ascii="Calibri" w:eastAsia="Times New Roman" w:hAnsi="Calibri" w:cs="Calibri"/>
                <w:color w:val="000000"/>
              </w:rPr>
            </w:pPr>
            <w:r w:rsidRPr="007534E8">
              <w:rPr>
                <w:rFonts w:ascii="Calibri" w:eastAsia="Times New Roman" w:hAnsi="Calibri" w:cs="Calibri"/>
                <w:color w:val="000000"/>
              </w:rPr>
              <w:t>Electronic Arts</w:t>
            </w:r>
          </w:p>
        </w:tc>
        <w:tc>
          <w:tcPr>
            <w:tcW w:w="1238" w:type="dxa"/>
            <w:tcBorders>
              <w:top w:val="single" w:sz="4" w:space="0" w:color="8EA9DB"/>
              <w:left w:val="nil"/>
              <w:bottom w:val="nil"/>
              <w:right w:val="nil"/>
            </w:tcBorders>
            <w:shd w:val="clear" w:color="D9E1F2" w:fill="D9E1F2"/>
            <w:noWrap/>
            <w:vAlign w:val="bottom"/>
            <w:hideMark/>
          </w:tcPr>
          <w:p w14:paraId="25C2A254" w14:textId="77777777" w:rsidR="007534E8" w:rsidRPr="007534E8" w:rsidRDefault="007534E8" w:rsidP="007534E8">
            <w:pPr>
              <w:spacing w:after="0" w:line="240" w:lineRule="auto"/>
              <w:rPr>
                <w:rFonts w:ascii="Calibri" w:eastAsia="Times New Roman" w:hAnsi="Calibri" w:cs="Calibri"/>
                <w:color w:val="000000"/>
              </w:rPr>
            </w:pPr>
            <w:r w:rsidRPr="007534E8">
              <w:rPr>
                <w:rFonts w:ascii="Calibri" w:eastAsia="Times New Roman" w:hAnsi="Calibri" w:cs="Calibri"/>
                <w:color w:val="000000"/>
              </w:rPr>
              <w:t xml:space="preserve"> $ 119.83 </w:t>
            </w:r>
          </w:p>
        </w:tc>
        <w:tc>
          <w:tcPr>
            <w:tcW w:w="2001" w:type="dxa"/>
            <w:tcBorders>
              <w:top w:val="single" w:sz="4" w:space="0" w:color="8EA9DB"/>
              <w:left w:val="nil"/>
              <w:bottom w:val="nil"/>
              <w:right w:val="nil"/>
            </w:tcBorders>
            <w:shd w:val="clear" w:color="D9E1F2" w:fill="D9E1F2"/>
            <w:noWrap/>
            <w:vAlign w:val="bottom"/>
            <w:hideMark/>
          </w:tcPr>
          <w:p w14:paraId="36DA311B" w14:textId="77777777" w:rsidR="007534E8" w:rsidRPr="007534E8" w:rsidRDefault="007534E8" w:rsidP="007534E8">
            <w:pPr>
              <w:spacing w:after="0" w:line="240" w:lineRule="auto"/>
              <w:rPr>
                <w:rFonts w:ascii="Calibri" w:eastAsia="Times New Roman" w:hAnsi="Calibri" w:cs="Calibri"/>
                <w:color w:val="000000"/>
              </w:rPr>
            </w:pPr>
            <w:r w:rsidRPr="007534E8">
              <w:rPr>
                <w:rFonts w:ascii="Calibri" w:eastAsia="Times New Roman" w:hAnsi="Calibri" w:cs="Calibri"/>
                <w:color w:val="000000"/>
              </w:rPr>
              <w:t xml:space="preserve"> $</w:t>
            </w:r>
            <w:r>
              <w:rPr>
                <w:rFonts w:ascii="Calibri" w:eastAsia="Times New Roman" w:hAnsi="Calibri" w:cs="Calibri"/>
                <w:color w:val="000000"/>
              </w:rPr>
              <w:t xml:space="preserve"> </w:t>
            </w:r>
            <w:r w:rsidRPr="007534E8">
              <w:rPr>
                <w:rFonts w:ascii="Calibri" w:eastAsia="Times New Roman" w:hAnsi="Calibri" w:cs="Calibri"/>
                <w:color w:val="000000"/>
              </w:rPr>
              <w:t xml:space="preserve">34,607 </w:t>
            </w:r>
          </w:p>
        </w:tc>
        <w:tc>
          <w:tcPr>
            <w:tcW w:w="2090" w:type="dxa"/>
            <w:tcBorders>
              <w:top w:val="single" w:sz="4" w:space="0" w:color="8EA9DB"/>
              <w:left w:val="nil"/>
              <w:bottom w:val="nil"/>
              <w:right w:val="nil"/>
            </w:tcBorders>
            <w:shd w:val="clear" w:color="D9E1F2" w:fill="D9E1F2"/>
            <w:noWrap/>
            <w:vAlign w:val="bottom"/>
            <w:hideMark/>
          </w:tcPr>
          <w:p w14:paraId="6B9AA250" w14:textId="77777777" w:rsidR="007534E8" w:rsidRPr="007534E8" w:rsidRDefault="007534E8" w:rsidP="007534E8">
            <w:pPr>
              <w:spacing w:after="0" w:line="240" w:lineRule="auto"/>
              <w:rPr>
                <w:rFonts w:ascii="Calibri" w:eastAsia="Times New Roman" w:hAnsi="Calibri" w:cs="Calibri"/>
                <w:color w:val="000000"/>
              </w:rPr>
            </w:pPr>
            <w:r w:rsidRPr="007534E8">
              <w:rPr>
                <w:rFonts w:ascii="Calibri" w:eastAsia="Times New Roman" w:hAnsi="Calibri" w:cs="Calibri"/>
                <w:color w:val="000000"/>
              </w:rPr>
              <w:t xml:space="preserve"> $</w:t>
            </w:r>
            <w:r>
              <w:rPr>
                <w:rFonts w:ascii="Calibri" w:eastAsia="Times New Roman" w:hAnsi="Calibri" w:cs="Calibri"/>
                <w:color w:val="000000"/>
              </w:rPr>
              <w:t xml:space="preserve"> </w:t>
            </w:r>
            <w:r w:rsidRPr="007534E8">
              <w:rPr>
                <w:rFonts w:ascii="Calibri" w:eastAsia="Times New Roman" w:hAnsi="Calibri" w:cs="Calibri"/>
                <w:color w:val="000000"/>
              </w:rPr>
              <w:t xml:space="preserve">5,466 </w:t>
            </w:r>
          </w:p>
        </w:tc>
        <w:tc>
          <w:tcPr>
            <w:tcW w:w="1148" w:type="dxa"/>
            <w:tcBorders>
              <w:top w:val="single" w:sz="4" w:space="0" w:color="8EA9DB"/>
              <w:left w:val="nil"/>
              <w:bottom w:val="nil"/>
              <w:right w:val="nil"/>
            </w:tcBorders>
            <w:shd w:val="clear" w:color="D9E1F2" w:fill="D9E1F2"/>
            <w:noWrap/>
            <w:vAlign w:val="bottom"/>
            <w:hideMark/>
          </w:tcPr>
          <w:p w14:paraId="2651B82C" w14:textId="77777777" w:rsidR="007534E8" w:rsidRPr="007534E8" w:rsidRDefault="007534E8" w:rsidP="007534E8">
            <w:pPr>
              <w:spacing w:after="0" w:line="240" w:lineRule="auto"/>
              <w:jc w:val="center"/>
              <w:rPr>
                <w:rFonts w:ascii="Calibri" w:eastAsia="Times New Roman" w:hAnsi="Calibri" w:cs="Calibri"/>
                <w:color w:val="000000"/>
              </w:rPr>
            </w:pPr>
            <w:r w:rsidRPr="007534E8">
              <w:rPr>
                <w:rFonts w:ascii="Calibri" w:eastAsia="Times New Roman" w:hAnsi="Calibri" w:cs="Calibri"/>
                <w:color w:val="000000"/>
              </w:rPr>
              <w:t>20.7</w:t>
            </w:r>
          </w:p>
        </w:tc>
        <w:tc>
          <w:tcPr>
            <w:tcW w:w="1484" w:type="dxa"/>
            <w:tcBorders>
              <w:top w:val="single" w:sz="4" w:space="0" w:color="8EA9DB"/>
              <w:left w:val="nil"/>
              <w:bottom w:val="nil"/>
              <w:right w:val="single" w:sz="4" w:space="0" w:color="8EA9DB"/>
            </w:tcBorders>
            <w:shd w:val="clear" w:color="D9E1F2" w:fill="D9E1F2"/>
            <w:noWrap/>
            <w:vAlign w:val="bottom"/>
            <w:hideMark/>
          </w:tcPr>
          <w:p w14:paraId="2813330C" w14:textId="77777777" w:rsidR="007534E8" w:rsidRPr="007534E8" w:rsidRDefault="007534E8" w:rsidP="007534E8">
            <w:pPr>
              <w:spacing w:after="0" w:line="240" w:lineRule="auto"/>
              <w:jc w:val="center"/>
              <w:rPr>
                <w:rFonts w:ascii="Calibri" w:eastAsia="Times New Roman" w:hAnsi="Calibri" w:cs="Calibri"/>
                <w:color w:val="000000"/>
              </w:rPr>
            </w:pPr>
            <w:r w:rsidRPr="007534E8">
              <w:rPr>
                <w:rFonts w:ascii="Calibri" w:eastAsia="Times New Roman" w:hAnsi="Calibri" w:cs="Calibri"/>
                <w:color w:val="000000"/>
              </w:rPr>
              <w:t>2.3</w:t>
            </w:r>
          </w:p>
        </w:tc>
      </w:tr>
      <w:tr w:rsidR="007534E8" w:rsidRPr="007534E8" w14:paraId="6FF15404" w14:textId="77777777" w:rsidTr="007534E8">
        <w:trPr>
          <w:trHeight w:val="297"/>
        </w:trPr>
        <w:tc>
          <w:tcPr>
            <w:tcW w:w="2532" w:type="dxa"/>
            <w:tcBorders>
              <w:top w:val="single" w:sz="4" w:space="0" w:color="8EA9DB"/>
              <w:left w:val="single" w:sz="4" w:space="0" w:color="8EA9DB"/>
              <w:bottom w:val="single" w:sz="4" w:space="0" w:color="8EA9DB"/>
              <w:right w:val="nil"/>
            </w:tcBorders>
            <w:shd w:val="clear" w:color="auto" w:fill="auto"/>
            <w:noWrap/>
            <w:vAlign w:val="bottom"/>
            <w:hideMark/>
          </w:tcPr>
          <w:p w14:paraId="4A498BC8" w14:textId="77777777" w:rsidR="007534E8" w:rsidRPr="007534E8" w:rsidRDefault="007534E8" w:rsidP="007534E8">
            <w:pPr>
              <w:spacing w:after="0" w:line="240" w:lineRule="auto"/>
              <w:rPr>
                <w:rFonts w:ascii="Calibri" w:eastAsia="Times New Roman" w:hAnsi="Calibri" w:cs="Calibri"/>
                <w:color w:val="000000"/>
              </w:rPr>
            </w:pPr>
            <w:r w:rsidRPr="007534E8">
              <w:rPr>
                <w:rFonts w:ascii="Calibri" w:eastAsia="Times New Roman" w:hAnsi="Calibri" w:cs="Calibri"/>
                <w:color w:val="000000"/>
              </w:rPr>
              <w:t>Ubisoft Entertainment</w:t>
            </w:r>
          </w:p>
        </w:tc>
        <w:tc>
          <w:tcPr>
            <w:tcW w:w="1238" w:type="dxa"/>
            <w:tcBorders>
              <w:top w:val="single" w:sz="4" w:space="0" w:color="8EA9DB"/>
              <w:left w:val="nil"/>
              <w:bottom w:val="single" w:sz="4" w:space="0" w:color="8EA9DB"/>
              <w:right w:val="nil"/>
            </w:tcBorders>
            <w:shd w:val="clear" w:color="auto" w:fill="auto"/>
            <w:noWrap/>
            <w:vAlign w:val="bottom"/>
            <w:hideMark/>
          </w:tcPr>
          <w:p w14:paraId="02844716" w14:textId="77777777" w:rsidR="007534E8" w:rsidRPr="007534E8" w:rsidRDefault="007534E8" w:rsidP="007534E8">
            <w:pPr>
              <w:spacing w:after="0" w:line="240" w:lineRule="auto"/>
              <w:rPr>
                <w:rFonts w:ascii="Calibri" w:eastAsia="Times New Roman" w:hAnsi="Calibri" w:cs="Calibri"/>
                <w:color w:val="000000"/>
              </w:rPr>
            </w:pPr>
            <w:r w:rsidRPr="007534E8">
              <w:rPr>
                <w:rFonts w:ascii="Calibri" w:eastAsia="Times New Roman" w:hAnsi="Calibri" w:cs="Calibri"/>
                <w:color w:val="000000"/>
              </w:rPr>
              <w:t xml:space="preserve"> $ 88.23 </w:t>
            </w:r>
          </w:p>
        </w:tc>
        <w:tc>
          <w:tcPr>
            <w:tcW w:w="2001" w:type="dxa"/>
            <w:tcBorders>
              <w:top w:val="single" w:sz="4" w:space="0" w:color="8EA9DB"/>
              <w:left w:val="nil"/>
              <w:bottom w:val="single" w:sz="4" w:space="0" w:color="8EA9DB"/>
              <w:right w:val="nil"/>
            </w:tcBorders>
            <w:shd w:val="clear" w:color="auto" w:fill="auto"/>
            <w:noWrap/>
            <w:vAlign w:val="bottom"/>
            <w:hideMark/>
          </w:tcPr>
          <w:p w14:paraId="27A7B8C9" w14:textId="77777777" w:rsidR="007534E8" w:rsidRPr="007534E8" w:rsidRDefault="007534E8" w:rsidP="007534E8">
            <w:pPr>
              <w:spacing w:after="0" w:line="240" w:lineRule="auto"/>
              <w:rPr>
                <w:rFonts w:ascii="Calibri" w:eastAsia="Times New Roman" w:hAnsi="Calibri" w:cs="Calibri"/>
                <w:color w:val="000000"/>
              </w:rPr>
            </w:pPr>
            <w:r w:rsidRPr="007534E8">
              <w:rPr>
                <w:rFonts w:ascii="Calibri" w:eastAsia="Times New Roman" w:hAnsi="Calibri" w:cs="Calibri"/>
                <w:color w:val="000000"/>
              </w:rPr>
              <w:t xml:space="preserve"> $</w:t>
            </w:r>
            <w:r>
              <w:rPr>
                <w:rFonts w:ascii="Calibri" w:eastAsia="Times New Roman" w:hAnsi="Calibri" w:cs="Calibri"/>
                <w:color w:val="000000"/>
              </w:rPr>
              <w:t xml:space="preserve"> </w:t>
            </w:r>
            <w:r w:rsidRPr="007534E8">
              <w:rPr>
                <w:rFonts w:ascii="Calibri" w:eastAsia="Times New Roman" w:hAnsi="Calibri" w:cs="Calibri"/>
                <w:color w:val="000000"/>
              </w:rPr>
              <w:t xml:space="preserve">10,876 </w:t>
            </w:r>
          </w:p>
        </w:tc>
        <w:tc>
          <w:tcPr>
            <w:tcW w:w="2090" w:type="dxa"/>
            <w:tcBorders>
              <w:top w:val="single" w:sz="4" w:space="0" w:color="8EA9DB"/>
              <w:left w:val="nil"/>
              <w:bottom w:val="single" w:sz="4" w:space="0" w:color="8EA9DB"/>
              <w:right w:val="nil"/>
            </w:tcBorders>
            <w:shd w:val="clear" w:color="auto" w:fill="auto"/>
            <w:noWrap/>
            <w:vAlign w:val="bottom"/>
            <w:hideMark/>
          </w:tcPr>
          <w:p w14:paraId="6868CDC9" w14:textId="77777777" w:rsidR="007534E8" w:rsidRPr="007534E8" w:rsidRDefault="007534E8" w:rsidP="007534E8">
            <w:pPr>
              <w:spacing w:after="0" w:line="240" w:lineRule="auto"/>
              <w:rPr>
                <w:rFonts w:ascii="Calibri" w:eastAsia="Times New Roman" w:hAnsi="Calibri" w:cs="Calibri"/>
                <w:color w:val="000000"/>
              </w:rPr>
            </w:pPr>
            <w:r w:rsidRPr="007534E8">
              <w:rPr>
                <w:rFonts w:ascii="Calibri" w:eastAsia="Times New Roman" w:hAnsi="Calibri" w:cs="Calibri"/>
                <w:color w:val="000000"/>
              </w:rPr>
              <w:t xml:space="preserve"> $</w:t>
            </w:r>
            <w:r>
              <w:rPr>
                <w:rFonts w:ascii="Calibri" w:eastAsia="Times New Roman" w:hAnsi="Calibri" w:cs="Calibri"/>
                <w:color w:val="000000"/>
              </w:rPr>
              <w:t xml:space="preserve"> </w:t>
            </w:r>
            <w:r w:rsidRPr="007534E8">
              <w:rPr>
                <w:rFonts w:ascii="Calibri" w:eastAsia="Times New Roman" w:hAnsi="Calibri" w:cs="Calibri"/>
                <w:color w:val="000000"/>
              </w:rPr>
              <w:t xml:space="preserve">1,858 </w:t>
            </w:r>
          </w:p>
        </w:tc>
        <w:tc>
          <w:tcPr>
            <w:tcW w:w="1148" w:type="dxa"/>
            <w:tcBorders>
              <w:top w:val="single" w:sz="4" w:space="0" w:color="8EA9DB"/>
              <w:left w:val="nil"/>
              <w:bottom w:val="single" w:sz="4" w:space="0" w:color="8EA9DB"/>
              <w:right w:val="nil"/>
            </w:tcBorders>
            <w:shd w:val="clear" w:color="auto" w:fill="auto"/>
            <w:noWrap/>
            <w:vAlign w:val="bottom"/>
            <w:hideMark/>
          </w:tcPr>
          <w:p w14:paraId="17AB95E7" w14:textId="77777777" w:rsidR="007534E8" w:rsidRPr="007534E8" w:rsidRDefault="007534E8" w:rsidP="007534E8">
            <w:pPr>
              <w:spacing w:after="0" w:line="240" w:lineRule="auto"/>
              <w:jc w:val="center"/>
              <w:rPr>
                <w:rFonts w:ascii="Calibri" w:eastAsia="Times New Roman" w:hAnsi="Calibri" w:cs="Calibri"/>
                <w:color w:val="000000"/>
              </w:rPr>
            </w:pPr>
            <w:r w:rsidRPr="007534E8">
              <w:rPr>
                <w:rFonts w:ascii="Calibri" w:eastAsia="Times New Roman" w:hAnsi="Calibri" w:cs="Calibri"/>
                <w:color w:val="000000"/>
              </w:rPr>
              <w:t>26.8</w:t>
            </w:r>
          </w:p>
        </w:tc>
        <w:tc>
          <w:tcPr>
            <w:tcW w:w="1484" w:type="dxa"/>
            <w:tcBorders>
              <w:top w:val="single" w:sz="4" w:space="0" w:color="8EA9DB"/>
              <w:left w:val="nil"/>
              <w:bottom w:val="single" w:sz="4" w:space="0" w:color="8EA9DB"/>
              <w:right w:val="single" w:sz="4" w:space="0" w:color="8EA9DB"/>
            </w:tcBorders>
            <w:shd w:val="clear" w:color="auto" w:fill="auto"/>
            <w:noWrap/>
            <w:vAlign w:val="bottom"/>
            <w:hideMark/>
          </w:tcPr>
          <w:p w14:paraId="2CA27864" w14:textId="77777777" w:rsidR="007534E8" w:rsidRPr="007534E8" w:rsidRDefault="007534E8" w:rsidP="007534E8">
            <w:pPr>
              <w:spacing w:after="0" w:line="240" w:lineRule="auto"/>
              <w:jc w:val="center"/>
              <w:rPr>
                <w:rFonts w:ascii="Calibri" w:eastAsia="Times New Roman" w:hAnsi="Calibri" w:cs="Calibri"/>
                <w:color w:val="000000"/>
              </w:rPr>
            </w:pPr>
            <w:r w:rsidRPr="007534E8">
              <w:rPr>
                <w:rFonts w:ascii="Calibri" w:eastAsia="Times New Roman" w:hAnsi="Calibri" w:cs="Calibri"/>
                <w:color w:val="000000"/>
              </w:rPr>
              <w:t>3.0</w:t>
            </w:r>
          </w:p>
        </w:tc>
      </w:tr>
      <w:tr w:rsidR="00292A95" w:rsidRPr="007534E8" w14:paraId="64CCC1B3" w14:textId="77777777" w:rsidTr="007B5CE6">
        <w:trPr>
          <w:trHeight w:val="297"/>
        </w:trPr>
        <w:tc>
          <w:tcPr>
            <w:tcW w:w="2532" w:type="dxa"/>
            <w:tcBorders>
              <w:top w:val="single" w:sz="4" w:space="0" w:color="8EA9DB"/>
              <w:left w:val="single" w:sz="4" w:space="0" w:color="8EA9DB"/>
              <w:bottom w:val="single" w:sz="4" w:space="0" w:color="8EA9DB"/>
              <w:right w:val="nil"/>
            </w:tcBorders>
            <w:shd w:val="clear" w:color="auto" w:fill="D9E2F3" w:themeFill="accent1" w:themeFillTint="33"/>
            <w:noWrap/>
            <w:vAlign w:val="bottom"/>
          </w:tcPr>
          <w:p w14:paraId="1B2977E4" w14:textId="27F30B8B" w:rsidR="00292A95" w:rsidRPr="007B5CE6" w:rsidRDefault="007B5CE6" w:rsidP="007534E8">
            <w:pPr>
              <w:spacing w:after="0" w:line="240" w:lineRule="auto"/>
              <w:rPr>
                <w:rFonts w:ascii="Calibri" w:eastAsia="Times New Roman" w:hAnsi="Calibri" w:cs="Calibri"/>
                <w:color w:val="000000"/>
              </w:rPr>
            </w:pPr>
            <w:r>
              <w:rPr>
                <w:rFonts w:ascii="Calibri" w:eastAsia="Times New Roman" w:hAnsi="Calibri" w:cs="Calibri"/>
                <w:b/>
                <w:bCs/>
                <w:color w:val="000000"/>
              </w:rPr>
              <w:t>Peer Averages</w:t>
            </w:r>
          </w:p>
        </w:tc>
        <w:tc>
          <w:tcPr>
            <w:tcW w:w="1238" w:type="dxa"/>
            <w:tcBorders>
              <w:top w:val="single" w:sz="4" w:space="0" w:color="8EA9DB"/>
              <w:left w:val="nil"/>
              <w:bottom w:val="single" w:sz="4" w:space="0" w:color="8EA9DB"/>
              <w:right w:val="nil"/>
            </w:tcBorders>
            <w:shd w:val="clear" w:color="auto" w:fill="D9E2F3" w:themeFill="accent1" w:themeFillTint="33"/>
            <w:noWrap/>
            <w:vAlign w:val="bottom"/>
          </w:tcPr>
          <w:p w14:paraId="20E91350" w14:textId="77777777" w:rsidR="00292A95" w:rsidRPr="00FC636F" w:rsidRDefault="00292A95" w:rsidP="007534E8">
            <w:pPr>
              <w:spacing w:after="0" w:line="240" w:lineRule="auto"/>
              <w:rPr>
                <w:rFonts w:ascii="Calibri" w:eastAsia="Times New Roman" w:hAnsi="Calibri" w:cs="Calibri"/>
                <w:b/>
                <w:bCs/>
                <w:color w:val="000000"/>
              </w:rPr>
            </w:pPr>
          </w:p>
        </w:tc>
        <w:tc>
          <w:tcPr>
            <w:tcW w:w="2001" w:type="dxa"/>
            <w:tcBorders>
              <w:top w:val="single" w:sz="4" w:space="0" w:color="8EA9DB"/>
              <w:left w:val="nil"/>
              <w:bottom w:val="single" w:sz="4" w:space="0" w:color="8EA9DB"/>
              <w:right w:val="nil"/>
            </w:tcBorders>
            <w:shd w:val="clear" w:color="auto" w:fill="D9E2F3" w:themeFill="accent1" w:themeFillTint="33"/>
            <w:noWrap/>
            <w:vAlign w:val="bottom"/>
          </w:tcPr>
          <w:p w14:paraId="2896A15B" w14:textId="1BDC5463" w:rsidR="00292A95" w:rsidRPr="00FC636F" w:rsidRDefault="00FC636F" w:rsidP="007534E8">
            <w:pPr>
              <w:spacing w:after="0" w:line="240" w:lineRule="auto"/>
              <w:rPr>
                <w:rFonts w:ascii="Calibri" w:eastAsia="Times New Roman" w:hAnsi="Calibri" w:cs="Calibri"/>
                <w:b/>
                <w:bCs/>
                <w:color w:val="000000"/>
              </w:rPr>
            </w:pPr>
            <w:r w:rsidRPr="00FC636F">
              <w:rPr>
                <w:rFonts w:ascii="Calibri" w:eastAsia="Times New Roman" w:hAnsi="Calibri" w:cs="Calibri"/>
                <w:b/>
                <w:bCs/>
                <w:color w:val="000000"/>
              </w:rPr>
              <w:t xml:space="preserve"> $ 30,431</w:t>
            </w:r>
          </w:p>
        </w:tc>
        <w:tc>
          <w:tcPr>
            <w:tcW w:w="2090" w:type="dxa"/>
            <w:tcBorders>
              <w:top w:val="single" w:sz="4" w:space="0" w:color="8EA9DB"/>
              <w:left w:val="nil"/>
              <w:bottom w:val="single" w:sz="4" w:space="0" w:color="8EA9DB"/>
              <w:right w:val="nil"/>
            </w:tcBorders>
            <w:shd w:val="clear" w:color="auto" w:fill="D9E2F3" w:themeFill="accent1" w:themeFillTint="33"/>
            <w:noWrap/>
            <w:vAlign w:val="bottom"/>
          </w:tcPr>
          <w:p w14:paraId="35B8E9DD" w14:textId="44B2BB43" w:rsidR="00292A95" w:rsidRPr="00FC636F" w:rsidRDefault="00FC636F" w:rsidP="007534E8">
            <w:pPr>
              <w:spacing w:after="0" w:line="240" w:lineRule="auto"/>
              <w:rPr>
                <w:rFonts w:ascii="Calibri" w:eastAsia="Times New Roman" w:hAnsi="Calibri" w:cs="Calibri"/>
                <w:b/>
                <w:bCs/>
                <w:color w:val="000000"/>
              </w:rPr>
            </w:pPr>
            <w:r w:rsidRPr="00FC636F">
              <w:rPr>
                <w:rFonts w:ascii="Calibri" w:eastAsia="Times New Roman" w:hAnsi="Calibri" w:cs="Calibri"/>
                <w:b/>
                <w:bCs/>
                <w:color w:val="000000"/>
              </w:rPr>
              <w:t xml:space="preserve"> $ 4,191</w:t>
            </w:r>
          </w:p>
        </w:tc>
        <w:tc>
          <w:tcPr>
            <w:tcW w:w="1148" w:type="dxa"/>
            <w:tcBorders>
              <w:top w:val="single" w:sz="4" w:space="0" w:color="8EA9DB"/>
              <w:left w:val="nil"/>
              <w:bottom w:val="single" w:sz="4" w:space="0" w:color="8EA9DB"/>
              <w:right w:val="nil"/>
            </w:tcBorders>
            <w:shd w:val="clear" w:color="auto" w:fill="D9E2F3" w:themeFill="accent1" w:themeFillTint="33"/>
            <w:noWrap/>
            <w:vAlign w:val="bottom"/>
          </w:tcPr>
          <w:p w14:paraId="11F099E8" w14:textId="1DBDCCEF" w:rsidR="00FC636F" w:rsidRPr="00FC636F" w:rsidRDefault="00FC636F" w:rsidP="00FC636F">
            <w:pPr>
              <w:spacing w:after="0" w:line="240" w:lineRule="auto"/>
              <w:jc w:val="center"/>
              <w:rPr>
                <w:rFonts w:ascii="Calibri" w:eastAsia="Times New Roman" w:hAnsi="Calibri" w:cs="Calibri"/>
                <w:b/>
                <w:bCs/>
                <w:color w:val="000000"/>
              </w:rPr>
            </w:pPr>
            <w:r w:rsidRPr="00FC636F">
              <w:rPr>
                <w:rFonts w:ascii="Calibri" w:eastAsia="Times New Roman" w:hAnsi="Calibri" w:cs="Calibri"/>
                <w:b/>
                <w:bCs/>
                <w:color w:val="000000"/>
              </w:rPr>
              <w:t>24.6</w:t>
            </w:r>
          </w:p>
        </w:tc>
        <w:tc>
          <w:tcPr>
            <w:tcW w:w="1484" w:type="dxa"/>
            <w:tcBorders>
              <w:top w:val="single" w:sz="4" w:space="0" w:color="8EA9DB"/>
              <w:left w:val="nil"/>
              <w:bottom w:val="single" w:sz="4" w:space="0" w:color="8EA9DB"/>
              <w:right w:val="single" w:sz="4" w:space="0" w:color="8EA9DB"/>
            </w:tcBorders>
            <w:shd w:val="clear" w:color="auto" w:fill="D9E2F3" w:themeFill="accent1" w:themeFillTint="33"/>
            <w:noWrap/>
            <w:vAlign w:val="bottom"/>
          </w:tcPr>
          <w:p w14:paraId="564D0BDB" w14:textId="22D94211" w:rsidR="00292A95" w:rsidRPr="00FC636F" w:rsidRDefault="00FC636F" w:rsidP="007534E8">
            <w:pPr>
              <w:spacing w:after="0" w:line="240" w:lineRule="auto"/>
              <w:jc w:val="center"/>
              <w:rPr>
                <w:rFonts w:ascii="Calibri" w:eastAsia="Times New Roman" w:hAnsi="Calibri" w:cs="Calibri"/>
                <w:b/>
                <w:bCs/>
                <w:color w:val="000000"/>
              </w:rPr>
            </w:pPr>
            <w:r w:rsidRPr="00FC636F">
              <w:rPr>
                <w:rFonts w:ascii="Calibri" w:eastAsia="Times New Roman" w:hAnsi="Calibri" w:cs="Calibri"/>
                <w:b/>
                <w:bCs/>
                <w:color w:val="000000"/>
              </w:rPr>
              <w:t>2.7</w:t>
            </w:r>
          </w:p>
        </w:tc>
      </w:tr>
    </w:tbl>
    <w:p w14:paraId="75BA1F44" w14:textId="77777777" w:rsidR="007534E8" w:rsidRPr="007534E8" w:rsidRDefault="007534E8" w:rsidP="007534E8">
      <w:pPr>
        <w:spacing w:after="0" w:line="240" w:lineRule="auto"/>
        <w:rPr>
          <w:rFonts w:ascii="Calibri" w:eastAsia="Times New Roman" w:hAnsi="Calibri" w:cs="Calibri"/>
          <w:b/>
          <w:bCs/>
          <w:color w:val="FFFFFF"/>
        </w:rPr>
      </w:pPr>
      <w:r w:rsidRPr="007534E8">
        <w:rPr>
          <w:rFonts w:ascii="Calibri" w:eastAsia="Times New Roman" w:hAnsi="Calibri" w:cs="Calibri"/>
          <w:b/>
          <w:bCs/>
          <w:color w:val="FFFFFF"/>
        </w:rPr>
        <w:t>Market Cap (M)</w:t>
      </w:r>
    </w:p>
    <w:p w14:paraId="33FCDE16" w14:textId="2A8176CB" w:rsidR="00C15C79" w:rsidRDefault="005B5AA4" w:rsidP="00F95EEB">
      <w:r>
        <w:t>In early 2020 Take-Two’s holding 2K Sports signed a deal with the NFL for non-simulation football games. This allows Take-Two to compete with Electronic Arts and its monopoly in professional football video games, providing another avenue for them to gain market share over their consumers. Along with their avenues into mobile gaming, Take-Two presents a more dynamic outlook than their direct competitors</w:t>
      </w:r>
      <w:r w:rsidR="00B718CD">
        <w:t>.</w:t>
      </w:r>
    </w:p>
    <w:p w14:paraId="114EB7FD" w14:textId="77777777" w:rsidR="00744BEE" w:rsidRDefault="00744BEE" w:rsidP="00F95EEB">
      <w:pPr>
        <w:rPr>
          <w:b/>
          <w:bCs/>
          <w:u w:val="single"/>
        </w:rPr>
      </w:pPr>
    </w:p>
    <w:p w14:paraId="18176B40" w14:textId="77777777" w:rsidR="00744BEE" w:rsidRDefault="00744BEE" w:rsidP="00F95EEB">
      <w:pPr>
        <w:rPr>
          <w:b/>
          <w:bCs/>
          <w:u w:val="single"/>
        </w:rPr>
      </w:pPr>
    </w:p>
    <w:tbl>
      <w:tblPr>
        <w:tblpPr w:leftFromText="180" w:rightFromText="180" w:vertAnchor="text" w:horzAnchor="page" w:tblpX="6151" w:tblpY="276"/>
        <w:tblW w:w="5480" w:type="dxa"/>
        <w:tblLook w:val="04A0" w:firstRow="1" w:lastRow="0" w:firstColumn="1" w:lastColumn="0" w:noHBand="0" w:noVBand="1"/>
      </w:tblPr>
      <w:tblGrid>
        <w:gridCol w:w="3940"/>
        <w:gridCol w:w="1540"/>
      </w:tblGrid>
      <w:tr w:rsidR="00744BEE" w:rsidRPr="000C755C" w14:paraId="0DA46F42" w14:textId="77777777" w:rsidTr="00744BEE">
        <w:trPr>
          <w:trHeight w:val="300"/>
        </w:trPr>
        <w:tc>
          <w:tcPr>
            <w:tcW w:w="3940" w:type="dxa"/>
            <w:tcBorders>
              <w:top w:val="single" w:sz="4" w:space="0" w:color="8EA9DB"/>
              <w:left w:val="single" w:sz="4" w:space="0" w:color="8EA9DB"/>
              <w:bottom w:val="single" w:sz="4" w:space="0" w:color="8EA9DB"/>
              <w:right w:val="nil"/>
            </w:tcBorders>
            <w:shd w:val="clear" w:color="4472C4" w:fill="4472C4"/>
            <w:noWrap/>
            <w:vAlign w:val="bottom"/>
            <w:hideMark/>
          </w:tcPr>
          <w:p w14:paraId="3A0650EC" w14:textId="77777777" w:rsidR="00744BEE" w:rsidRPr="000C755C" w:rsidRDefault="00744BEE" w:rsidP="00744BEE">
            <w:pPr>
              <w:spacing w:after="0" w:line="240" w:lineRule="auto"/>
              <w:jc w:val="center"/>
              <w:rPr>
                <w:rFonts w:ascii="Calibri" w:eastAsia="Times New Roman" w:hAnsi="Calibri" w:cs="Calibri"/>
                <w:b/>
                <w:bCs/>
                <w:color w:val="FFFFFF"/>
              </w:rPr>
            </w:pPr>
            <w:r w:rsidRPr="000C755C">
              <w:rPr>
                <w:rFonts w:ascii="Calibri" w:eastAsia="Times New Roman" w:hAnsi="Calibri" w:cs="Calibri"/>
                <w:b/>
                <w:bCs/>
                <w:color w:val="FFFFFF"/>
              </w:rPr>
              <w:t>Top Five Institutions</w:t>
            </w:r>
          </w:p>
        </w:tc>
        <w:tc>
          <w:tcPr>
            <w:tcW w:w="1540" w:type="dxa"/>
            <w:tcBorders>
              <w:top w:val="single" w:sz="4" w:space="0" w:color="8EA9DB"/>
              <w:left w:val="nil"/>
              <w:bottom w:val="single" w:sz="4" w:space="0" w:color="8EA9DB"/>
              <w:right w:val="single" w:sz="4" w:space="0" w:color="8EA9DB"/>
            </w:tcBorders>
            <w:shd w:val="clear" w:color="4472C4" w:fill="4472C4"/>
            <w:noWrap/>
            <w:vAlign w:val="bottom"/>
            <w:hideMark/>
          </w:tcPr>
          <w:p w14:paraId="1F5B53A4" w14:textId="77777777" w:rsidR="00744BEE" w:rsidRPr="000C755C" w:rsidRDefault="00744BEE" w:rsidP="00744BEE">
            <w:pPr>
              <w:spacing w:after="0" w:line="240" w:lineRule="auto"/>
              <w:jc w:val="center"/>
              <w:rPr>
                <w:rFonts w:ascii="Calibri" w:eastAsia="Times New Roman" w:hAnsi="Calibri" w:cs="Calibri"/>
                <w:b/>
                <w:bCs/>
                <w:color w:val="FFFFFF"/>
              </w:rPr>
            </w:pPr>
            <w:r w:rsidRPr="000C755C">
              <w:rPr>
                <w:rFonts w:ascii="Calibri" w:eastAsia="Times New Roman" w:hAnsi="Calibri" w:cs="Calibri"/>
                <w:b/>
                <w:bCs/>
                <w:color w:val="FFFFFF"/>
              </w:rPr>
              <w:t>% OS</w:t>
            </w:r>
          </w:p>
        </w:tc>
      </w:tr>
      <w:tr w:rsidR="00744BEE" w:rsidRPr="000C755C" w14:paraId="22AD5532" w14:textId="77777777" w:rsidTr="00744BEE">
        <w:trPr>
          <w:trHeight w:val="300"/>
        </w:trPr>
        <w:tc>
          <w:tcPr>
            <w:tcW w:w="3940" w:type="dxa"/>
            <w:tcBorders>
              <w:top w:val="single" w:sz="4" w:space="0" w:color="8EA9DB"/>
              <w:left w:val="single" w:sz="4" w:space="0" w:color="8EA9DB"/>
              <w:bottom w:val="single" w:sz="4" w:space="0" w:color="8EA9DB"/>
              <w:right w:val="nil"/>
            </w:tcBorders>
            <w:shd w:val="clear" w:color="D9E1F2" w:fill="D9E1F2"/>
            <w:noWrap/>
            <w:vAlign w:val="bottom"/>
            <w:hideMark/>
          </w:tcPr>
          <w:p w14:paraId="784CDEAF" w14:textId="77777777" w:rsidR="00744BEE" w:rsidRPr="000C755C" w:rsidRDefault="00744BEE" w:rsidP="00744BEE">
            <w:pPr>
              <w:spacing w:after="0" w:line="240" w:lineRule="auto"/>
              <w:rPr>
                <w:rFonts w:ascii="Calibri" w:eastAsia="Times New Roman" w:hAnsi="Calibri" w:cs="Calibri"/>
                <w:color w:val="000000"/>
              </w:rPr>
            </w:pPr>
            <w:r w:rsidRPr="000C755C">
              <w:rPr>
                <w:rFonts w:ascii="Calibri" w:eastAsia="Times New Roman" w:hAnsi="Calibri" w:cs="Calibri"/>
                <w:color w:val="000000"/>
              </w:rPr>
              <w:t>The Vanguard Group, Inc.</w:t>
            </w:r>
          </w:p>
        </w:tc>
        <w:tc>
          <w:tcPr>
            <w:tcW w:w="1540" w:type="dxa"/>
            <w:tcBorders>
              <w:top w:val="single" w:sz="4" w:space="0" w:color="8EA9DB"/>
              <w:left w:val="nil"/>
              <w:bottom w:val="single" w:sz="4" w:space="0" w:color="8EA9DB"/>
              <w:right w:val="single" w:sz="4" w:space="0" w:color="8EA9DB"/>
            </w:tcBorders>
            <w:shd w:val="clear" w:color="D9E1F2" w:fill="D9E1F2"/>
            <w:noWrap/>
            <w:vAlign w:val="bottom"/>
            <w:hideMark/>
          </w:tcPr>
          <w:p w14:paraId="3807EA1E" w14:textId="77777777" w:rsidR="00744BEE" w:rsidRPr="000C755C" w:rsidRDefault="00744BEE" w:rsidP="00744BEE">
            <w:pPr>
              <w:spacing w:after="0" w:line="240" w:lineRule="auto"/>
              <w:jc w:val="center"/>
              <w:rPr>
                <w:rFonts w:ascii="Calibri" w:eastAsia="Times New Roman" w:hAnsi="Calibri" w:cs="Calibri"/>
                <w:color w:val="000000"/>
              </w:rPr>
            </w:pPr>
            <w:r w:rsidRPr="000C755C">
              <w:rPr>
                <w:rFonts w:ascii="Calibri" w:eastAsia="Times New Roman" w:hAnsi="Calibri" w:cs="Calibri"/>
                <w:color w:val="000000"/>
              </w:rPr>
              <w:t>10.97%</w:t>
            </w:r>
          </w:p>
        </w:tc>
      </w:tr>
      <w:tr w:rsidR="00744BEE" w:rsidRPr="000C755C" w14:paraId="242B7A5D" w14:textId="77777777" w:rsidTr="00744BEE">
        <w:trPr>
          <w:trHeight w:val="300"/>
        </w:trPr>
        <w:tc>
          <w:tcPr>
            <w:tcW w:w="3940" w:type="dxa"/>
            <w:tcBorders>
              <w:top w:val="single" w:sz="4" w:space="0" w:color="8EA9DB"/>
              <w:left w:val="single" w:sz="4" w:space="0" w:color="8EA9DB"/>
              <w:bottom w:val="single" w:sz="4" w:space="0" w:color="8EA9DB"/>
              <w:right w:val="nil"/>
            </w:tcBorders>
            <w:shd w:val="clear" w:color="auto" w:fill="auto"/>
            <w:noWrap/>
            <w:vAlign w:val="bottom"/>
            <w:hideMark/>
          </w:tcPr>
          <w:p w14:paraId="6EAA1FE6" w14:textId="77777777" w:rsidR="00744BEE" w:rsidRPr="000C755C" w:rsidRDefault="00744BEE" w:rsidP="00744BEE">
            <w:pPr>
              <w:spacing w:after="0" w:line="240" w:lineRule="auto"/>
              <w:rPr>
                <w:rFonts w:ascii="Calibri" w:eastAsia="Times New Roman" w:hAnsi="Calibri" w:cs="Calibri"/>
                <w:color w:val="000000"/>
              </w:rPr>
            </w:pPr>
            <w:r w:rsidRPr="000C755C">
              <w:rPr>
                <w:rFonts w:ascii="Calibri" w:eastAsia="Times New Roman" w:hAnsi="Calibri" w:cs="Calibri"/>
                <w:color w:val="000000"/>
              </w:rPr>
              <w:t>BlackRock Fund Advisors</w:t>
            </w:r>
          </w:p>
        </w:tc>
        <w:tc>
          <w:tcPr>
            <w:tcW w:w="1540" w:type="dxa"/>
            <w:tcBorders>
              <w:top w:val="single" w:sz="4" w:space="0" w:color="8EA9DB"/>
              <w:left w:val="nil"/>
              <w:bottom w:val="single" w:sz="4" w:space="0" w:color="8EA9DB"/>
              <w:right w:val="single" w:sz="4" w:space="0" w:color="8EA9DB"/>
            </w:tcBorders>
            <w:shd w:val="clear" w:color="auto" w:fill="auto"/>
            <w:noWrap/>
            <w:vAlign w:val="bottom"/>
            <w:hideMark/>
          </w:tcPr>
          <w:p w14:paraId="0F96B85D" w14:textId="77777777" w:rsidR="00744BEE" w:rsidRPr="000C755C" w:rsidRDefault="00744BEE" w:rsidP="00744BEE">
            <w:pPr>
              <w:spacing w:after="0" w:line="240" w:lineRule="auto"/>
              <w:jc w:val="center"/>
              <w:rPr>
                <w:rFonts w:ascii="Calibri" w:eastAsia="Times New Roman" w:hAnsi="Calibri" w:cs="Calibri"/>
                <w:color w:val="000000"/>
              </w:rPr>
            </w:pPr>
            <w:r w:rsidRPr="000C755C">
              <w:rPr>
                <w:rFonts w:ascii="Calibri" w:eastAsia="Times New Roman" w:hAnsi="Calibri" w:cs="Calibri"/>
                <w:color w:val="000000"/>
              </w:rPr>
              <w:t>6.65%</w:t>
            </w:r>
          </w:p>
        </w:tc>
      </w:tr>
      <w:tr w:rsidR="00744BEE" w:rsidRPr="000C755C" w14:paraId="17F8397A" w14:textId="77777777" w:rsidTr="00744BEE">
        <w:trPr>
          <w:trHeight w:val="300"/>
        </w:trPr>
        <w:tc>
          <w:tcPr>
            <w:tcW w:w="3940" w:type="dxa"/>
            <w:tcBorders>
              <w:top w:val="single" w:sz="4" w:space="0" w:color="8EA9DB"/>
              <w:left w:val="single" w:sz="4" w:space="0" w:color="8EA9DB"/>
              <w:bottom w:val="single" w:sz="4" w:space="0" w:color="8EA9DB"/>
              <w:right w:val="nil"/>
            </w:tcBorders>
            <w:shd w:val="clear" w:color="D9E1F2" w:fill="D9E1F2"/>
            <w:noWrap/>
            <w:vAlign w:val="bottom"/>
            <w:hideMark/>
          </w:tcPr>
          <w:p w14:paraId="33020C91" w14:textId="77777777" w:rsidR="00744BEE" w:rsidRPr="000C755C" w:rsidRDefault="00744BEE" w:rsidP="00744BEE">
            <w:pPr>
              <w:spacing w:after="0" w:line="240" w:lineRule="auto"/>
              <w:rPr>
                <w:rFonts w:ascii="Calibri" w:eastAsia="Times New Roman" w:hAnsi="Calibri" w:cs="Calibri"/>
                <w:color w:val="000000"/>
              </w:rPr>
            </w:pPr>
            <w:proofErr w:type="spellStart"/>
            <w:r w:rsidRPr="000C755C">
              <w:rPr>
                <w:rFonts w:ascii="Calibri" w:eastAsia="Times New Roman" w:hAnsi="Calibri" w:cs="Calibri"/>
                <w:color w:val="000000"/>
              </w:rPr>
              <w:t>SSgA</w:t>
            </w:r>
            <w:proofErr w:type="spellEnd"/>
            <w:r w:rsidRPr="000C755C">
              <w:rPr>
                <w:rFonts w:ascii="Calibri" w:eastAsia="Times New Roman" w:hAnsi="Calibri" w:cs="Calibri"/>
                <w:color w:val="000000"/>
              </w:rPr>
              <w:t xml:space="preserve"> Funds Management, Inc.</w:t>
            </w:r>
          </w:p>
        </w:tc>
        <w:tc>
          <w:tcPr>
            <w:tcW w:w="1540" w:type="dxa"/>
            <w:tcBorders>
              <w:top w:val="single" w:sz="4" w:space="0" w:color="8EA9DB"/>
              <w:left w:val="nil"/>
              <w:bottom w:val="single" w:sz="4" w:space="0" w:color="8EA9DB"/>
              <w:right w:val="single" w:sz="4" w:space="0" w:color="8EA9DB"/>
            </w:tcBorders>
            <w:shd w:val="clear" w:color="D9E1F2" w:fill="D9E1F2"/>
            <w:noWrap/>
            <w:vAlign w:val="bottom"/>
            <w:hideMark/>
          </w:tcPr>
          <w:p w14:paraId="70A8D4CA" w14:textId="77777777" w:rsidR="00744BEE" w:rsidRPr="000C755C" w:rsidRDefault="00744BEE" w:rsidP="00744BEE">
            <w:pPr>
              <w:spacing w:after="0" w:line="240" w:lineRule="auto"/>
              <w:jc w:val="center"/>
              <w:rPr>
                <w:rFonts w:ascii="Calibri" w:eastAsia="Times New Roman" w:hAnsi="Calibri" w:cs="Calibri"/>
                <w:color w:val="000000"/>
              </w:rPr>
            </w:pPr>
            <w:r w:rsidRPr="000C755C">
              <w:rPr>
                <w:rFonts w:ascii="Calibri" w:eastAsia="Times New Roman" w:hAnsi="Calibri" w:cs="Calibri"/>
                <w:color w:val="000000"/>
              </w:rPr>
              <w:t>4.95%</w:t>
            </w:r>
          </w:p>
        </w:tc>
      </w:tr>
      <w:tr w:rsidR="00744BEE" w:rsidRPr="000C755C" w14:paraId="310E7FF0" w14:textId="77777777" w:rsidTr="00744BEE">
        <w:trPr>
          <w:trHeight w:val="300"/>
        </w:trPr>
        <w:tc>
          <w:tcPr>
            <w:tcW w:w="3940" w:type="dxa"/>
            <w:tcBorders>
              <w:top w:val="single" w:sz="4" w:space="0" w:color="8EA9DB"/>
              <w:left w:val="single" w:sz="4" w:space="0" w:color="8EA9DB"/>
              <w:bottom w:val="single" w:sz="4" w:space="0" w:color="8EA9DB"/>
              <w:right w:val="nil"/>
            </w:tcBorders>
            <w:shd w:val="clear" w:color="auto" w:fill="auto"/>
            <w:noWrap/>
            <w:vAlign w:val="bottom"/>
            <w:hideMark/>
          </w:tcPr>
          <w:p w14:paraId="28C1CCF9" w14:textId="77777777" w:rsidR="00744BEE" w:rsidRPr="000C755C" w:rsidRDefault="00744BEE" w:rsidP="00744BEE">
            <w:pPr>
              <w:spacing w:after="0" w:line="240" w:lineRule="auto"/>
              <w:rPr>
                <w:rFonts w:ascii="Calibri" w:eastAsia="Times New Roman" w:hAnsi="Calibri" w:cs="Calibri"/>
                <w:color w:val="000000"/>
              </w:rPr>
            </w:pPr>
            <w:r w:rsidRPr="000C755C">
              <w:rPr>
                <w:rFonts w:ascii="Calibri" w:eastAsia="Times New Roman" w:hAnsi="Calibri" w:cs="Calibri"/>
                <w:color w:val="000000"/>
              </w:rPr>
              <w:t>Massachusetts Financial Services Co.</w:t>
            </w:r>
          </w:p>
        </w:tc>
        <w:tc>
          <w:tcPr>
            <w:tcW w:w="1540" w:type="dxa"/>
            <w:tcBorders>
              <w:top w:val="single" w:sz="4" w:space="0" w:color="8EA9DB"/>
              <w:left w:val="nil"/>
              <w:bottom w:val="single" w:sz="4" w:space="0" w:color="8EA9DB"/>
              <w:right w:val="single" w:sz="4" w:space="0" w:color="8EA9DB"/>
            </w:tcBorders>
            <w:shd w:val="clear" w:color="auto" w:fill="auto"/>
            <w:noWrap/>
            <w:vAlign w:val="bottom"/>
            <w:hideMark/>
          </w:tcPr>
          <w:p w14:paraId="2DE12328" w14:textId="77777777" w:rsidR="00744BEE" w:rsidRPr="000C755C" w:rsidRDefault="00744BEE" w:rsidP="00744BEE">
            <w:pPr>
              <w:spacing w:after="0" w:line="240" w:lineRule="auto"/>
              <w:jc w:val="center"/>
              <w:rPr>
                <w:rFonts w:ascii="Calibri" w:eastAsia="Times New Roman" w:hAnsi="Calibri" w:cs="Calibri"/>
                <w:color w:val="000000"/>
              </w:rPr>
            </w:pPr>
            <w:r w:rsidRPr="000C755C">
              <w:rPr>
                <w:rFonts w:ascii="Calibri" w:eastAsia="Times New Roman" w:hAnsi="Calibri" w:cs="Calibri"/>
                <w:color w:val="000000"/>
              </w:rPr>
              <w:t>3.21%</w:t>
            </w:r>
          </w:p>
        </w:tc>
      </w:tr>
      <w:tr w:rsidR="00744BEE" w:rsidRPr="000C755C" w14:paraId="235CB6B0" w14:textId="77777777" w:rsidTr="00744BEE">
        <w:trPr>
          <w:trHeight w:val="300"/>
        </w:trPr>
        <w:tc>
          <w:tcPr>
            <w:tcW w:w="3940" w:type="dxa"/>
            <w:tcBorders>
              <w:top w:val="single" w:sz="4" w:space="0" w:color="8EA9DB"/>
              <w:left w:val="single" w:sz="4" w:space="0" w:color="8EA9DB"/>
              <w:bottom w:val="single" w:sz="4" w:space="0" w:color="8EA9DB"/>
              <w:right w:val="nil"/>
            </w:tcBorders>
            <w:shd w:val="clear" w:color="D9E1F2" w:fill="D9E1F2"/>
            <w:noWrap/>
            <w:vAlign w:val="bottom"/>
            <w:hideMark/>
          </w:tcPr>
          <w:p w14:paraId="144EDBD4" w14:textId="77777777" w:rsidR="00744BEE" w:rsidRPr="000C755C" w:rsidRDefault="00744BEE" w:rsidP="00744BEE">
            <w:pPr>
              <w:spacing w:after="0" w:line="240" w:lineRule="auto"/>
              <w:rPr>
                <w:rFonts w:ascii="Calibri" w:eastAsia="Times New Roman" w:hAnsi="Calibri" w:cs="Calibri"/>
                <w:color w:val="000000"/>
              </w:rPr>
            </w:pPr>
            <w:r w:rsidRPr="000C755C">
              <w:rPr>
                <w:rFonts w:ascii="Calibri" w:eastAsia="Times New Roman" w:hAnsi="Calibri" w:cs="Calibri"/>
                <w:color w:val="000000"/>
              </w:rPr>
              <w:t>Fidelity Management &amp; Research Co. LLC</w:t>
            </w:r>
          </w:p>
        </w:tc>
        <w:tc>
          <w:tcPr>
            <w:tcW w:w="1540" w:type="dxa"/>
            <w:tcBorders>
              <w:top w:val="single" w:sz="4" w:space="0" w:color="8EA9DB"/>
              <w:left w:val="nil"/>
              <w:bottom w:val="single" w:sz="4" w:space="0" w:color="8EA9DB"/>
              <w:right w:val="single" w:sz="4" w:space="0" w:color="8EA9DB"/>
            </w:tcBorders>
            <w:shd w:val="clear" w:color="D9E1F2" w:fill="D9E1F2"/>
            <w:noWrap/>
            <w:vAlign w:val="bottom"/>
            <w:hideMark/>
          </w:tcPr>
          <w:p w14:paraId="30540BFD" w14:textId="77777777" w:rsidR="00744BEE" w:rsidRPr="000C755C" w:rsidRDefault="00744BEE" w:rsidP="00744BEE">
            <w:pPr>
              <w:spacing w:after="0" w:line="240" w:lineRule="auto"/>
              <w:jc w:val="center"/>
              <w:rPr>
                <w:rFonts w:ascii="Calibri" w:eastAsia="Times New Roman" w:hAnsi="Calibri" w:cs="Calibri"/>
                <w:color w:val="000000"/>
              </w:rPr>
            </w:pPr>
            <w:r w:rsidRPr="000C755C">
              <w:rPr>
                <w:rFonts w:ascii="Calibri" w:eastAsia="Times New Roman" w:hAnsi="Calibri" w:cs="Calibri"/>
                <w:color w:val="000000"/>
              </w:rPr>
              <w:t>2.96%</w:t>
            </w:r>
          </w:p>
        </w:tc>
      </w:tr>
    </w:tbl>
    <w:p w14:paraId="3FB5470C" w14:textId="51D94ACD" w:rsidR="003459A1" w:rsidRPr="00B718CD" w:rsidRDefault="003459A1" w:rsidP="00F95EEB">
      <w:pPr>
        <w:rPr>
          <w:b/>
          <w:bCs/>
          <w:color w:val="2F5496" w:themeColor="accent1" w:themeShade="BF"/>
          <w:sz w:val="28"/>
          <w:szCs w:val="28"/>
          <w:u w:val="single"/>
        </w:rPr>
      </w:pPr>
      <w:r w:rsidRPr="00B718CD">
        <w:rPr>
          <w:b/>
          <w:bCs/>
          <w:color w:val="2F5496" w:themeColor="accent1" w:themeShade="BF"/>
          <w:sz w:val="28"/>
          <w:szCs w:val="28"/>
          <w:u w:val="single"/>
        </w:rPr>
        <w:t>Ownership of Shares</w:t>
      </w:r>
    </w:p>
    <w:p w14:paraId="7C7FC74A" w14:textId="63BE2DD6" w:rsidR="000C755C" w:rsidRDefault="00B718CD" w:rsidP="00F95EEB">
      <w:r>
        <w:rPr>
          <w:noProof/>
        </w:rPr>
        <w:drawing>
          <wp:anchor distT="0" distB="0" distL="114300" distR="114300" simplePos="0" relativeHeight="251659264" behindDoc="0" locked="0" layoutInCell="1" allowOverlap="1" wp14:anchorId="3E7820DD" wp14:editId="7ACC513D">
            <wp:simplePos x="0" y="0"/>
            <wp:positionH relativeFrom="column">
              <wp:posOffset>-533400</wp:posOffset>
            </wp:positionH>
            <wp:positionV relativeFrom="paragraph">
              <wp:posOffset>181610</wp:posOffset>
            </wp:positionV>
            <wp:extent cx="3251027" cy="21050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63142" cy="2112869"/>
                    </a:xfrm>
                    <a:prstGeom prst="rect">
                      <a:avLst/>
                    </a:prstGeom>
                  </pic:spPr>
                </pic:pic>
              </a:graphicData>
            </a:graphic>
            <wp14:sizeRelH relativeFrom="margin">
              <wp14:pctWidth>0</wp14:pctWidth>
            </wp14:sizeRelH>
            <wp14:sizeRelV relativeFrom="margin">
              <wp14:pctHeight>0</wp14:pctHeight>
            </wp14:sizeRelV>
          </wp:anchor>
        </w:drawing>
      </w:r>
    </w:p>
    <w:p w14:paraId="16618D31" w14:textId="5711DFA9" w:rsidR="000C755C" w:rsidRPr="003459A1" w:rsidRDefault="000C755C" w:rsidP="00F95EEB"/>
    <w:p w14:paraId="5A91CFF1" w14:textId="622A3531" w:rsidR="003459A1" w:rsidRDefault="003459A1" w:rsidP="00F95EEB"/>
    <w:p w14:paraId="084772CB" w14:textId="380B8EFE" w:rsidR="005D0859" w:rsidRDefault="005D0859" w:rsidP="00F95EEB"/>
    <w:tbl>
      <w:tblPr>
        <w:tblpPr w:leftFromText="180" w:rightFromText="180" w:vertAnchor="text" w:horzAnchor="page" w:tblpX="6121" w:tblpY="93"/>
        <w:tblW w:w="5480" w:type="dxa"/>
        <w:tblLook w:val="04A0" w:firstRow="1" w:lastRow="0" w:firstColumn="1" w:lastColumn="0" w:noHBand="0" w:noVBand="1"/>
      </w:tblPr>
      <w:tblGrid>
        <w:gridCol w:w="3940"/>
        <w:gridCol w:w="1540"/>
      </w:tblGrid>
      <w:tr w:rsidR="000B0BF0" w:rsidRPr="000C755C" w14:paraId="60DD1C01" w14:textId="77777777" w:rsidTr="000B0BF0">
        <w:trPr>
          <w:trHeight w:val="300"/>
        </w:trPr>
        <w:tc>
          <w:tcPr>
            <w:tcW w:w="3940" w:type="dxa"/>
            <w:tcBorders>
              <w:top w:val="single" w:sz="4" w:space="0" w:color="8EA9DB"/>
              <w:left w:val="single" w:sz="4" w:space="0" w:color="8EA9DB"/>
              <w:bottom w:val="single" w:sz="4" w:space="0" w:color="8EA9DB"/>
              <w:right w:val="nil"/>
            </w:tcBorders>
            <w:shd w:val="clear" w:color="4472C4" w:fill="4472C4"/>
            <w:noWrap/>
            <w:vAlign w:val="bottom"/>
            <w:hideMark/>
          </w:tcPr>
          <w:p w14:paraId="1C3B02AB" w14:textId="77777777" w:rsidR="000B0BF0" w:rsidRPr="000C755C" w:rsidRDefault="000B0BF0" w:rsidP="000B0BF0">
            <w:pPr>
              <w:spacing w:after="0" w:line="240" w:lineRule="auto"/>
              <w:jc w:val="center"/>
              <w:rPr>
                <w:rFonts w:ascii="Calibri" w:eastAsia="Times New Roman" w:hAnsi="Calibri" w:cs="Calibri"/>
                <w:b/>
                <w:bCs/>
                <w:color w:val="FFFFFF"/>
              </w:rPr>
            </w:pPr>
            <w:r w:rsidRPr="000C755C">
              <w:rPr>
                <w:rFonts w:ascii="Calibri" w:eastAsia="Times New Roman" w:hAnsi="Calibri" w:cs="Calibri"/>
                <w:b/>
                <w:bCs/>
                <w:color w:val="FFFFFF"/>
              </w:rPr>
              <w:t>Top Five Insiders</w:t>
            </w:r>
          </w:p>
        </w:tc>
        <w:tc>
          <w:tcPr>
            <w:tcW w:w="1540" w:type="dxa"/>
            <w:tcBorders>
              <w:top w:val="single" w:sz="4" w:space="0" w:color="8EA9DB"/>
              <w:left w:val="nil"/>
              <w:bottom w:val="single" w:sz="4" w:space="0" w:color="8EA9DB"/>
              <w:right w:val="single" w:sz="4" w:space="0" w:color="8EA9DB"/>
            </w:tcBorders>
            <w:shd w:val="clear" w:color="4472C4" w:fill="4472C4"/>
            <w:noWrap/>
            <w:vAlign w:val="bottom"/>
            <w:hideMark/>
          </w:tcPr>
          <w:p w14:paraId="1EE20B6D" w14:textId="77777777" w:rsidR="000B0BF0" w:rsidRPr="000C755C" w:rsidRDefault="000B0BF0" w:rsidP="000B0BF0">
            <w:pPr>
              <w:spacing w:after="0" w:line="240" w:lineRule="auto"/>
              <w:jc w:val="center"/>
              <w:rPr>
                <w:rFonts w:ascii="Calibri" w:eastAsia="Times New Roman" w:hAnsi="Calibri" w:cs="Calibri"/>
                <w:b/>
                <w:bCs/>
                <w:color w:val="FFFFFF"/>
              </w:rPr>
            </w:pPr>
            <w:r w:rsidRPr="000C755C">
              <w:rPr>
                <w:rFonts w:ascii="Calibri" w:eastAsia="Times New Roman" w:hAnsi="Calibri" w:cs="Calibri"/>
                <w:b/>
                <w:bCs/>
                <w:color w:val="FFFFFF"/>
              </w:rPr>
              <w:t>% OS</w:t>
            </w:r>
          </w:p>
        </w:tc>
      </w:tr>
      <w:tr w:rsidR="000B0BF0" w:rsidRPr="000C755C" w14:paraId="61C191E8" w14:textId="77777777" w:rsidTr="000B0BF0">
        <w:trPr>
          <w:trHeight w:val="300"/>
        </w:trPr>
        <w:tc>
          <w:tcPr>
            <w:tcW w:w="3940" w:type="dxa"/>
            <w:tcBorders>
              <w:top w:val="single" w:sz="4" w:space="0" w:color="8EA9DB"/>
              <w:left w:val="single" w:sz="4" w:space="0" w:color="8EA9DB"/>
              <w:bottom w:val="single" w:sz="4" w:space="0" w:color="8EA9DB"/>
              <w:right w:val="nil"/>
            </w:tcBorders>
            <w:shd w:val="clear" w:color="D9E1F2" w:fill="D9E1F2"/>
            <w:noWrap/>
            <w:vAlign w:val="bottom"/>
            <w:hideMark/>
          </w:tcPr>
          <w:p w14:paraId="1D88302D" w14:textId="77777777" w:rsidR="000B0BF0" w:rsidRPr="000C755C" w:rsidRDefault="000B0BF0" w:rsidP="000B0BF0">
            <w:pPr>
              <w:spacing w:after="0" w:line="240" w:lineRule="auto"/>
              <w:rPr>
                <w:rFonts w:ascii="Calibri" w:eastAsia="Times New Roman" w:hAnsi="Calibri" w:cs="Calibri"/>
                <w:color w:val="000000"/>
              </w:rPr>
            </w:pPr>
            <w:proofErr w:type="spellStart"/>
            <w:r w:rsidRPr="000C755C">
              <w:rPr>
                <w:rFonts w:ascii="Calibri" w:eastAsia="Times New Roman" w:hAnsi="Calibri" w:cs="Calibri"/>
                <w:color w:val="000000"/>
              </w:rPr>
              <w:t>ZelnickMedia</w:t>
            </w:r>
            <w:proofErr w:type="spellEnd"/>
            <w:r w:rsidRPr="000C755C">
              <w:rPr>
                <w:rFonts w:ascii="Calibri" w:eastAsia="Times New Roman" w:hAnsi="Calibri" w:cs="Calibri"/>
                <w:color w:val="000000"/>
              </w:rPr>
              <w:t xml:space="preserve"> Corp.</w:t>
            </w:r>
          </w:p>
        </w:tc>
        <w:tc>
          <w:tcPr>
            <w:tcW w:w="1540" w:type="dxa"/>
            <w:tcBorders>
              <w:top w:val="single" w:sz="4" w:space="0" w:color="8EA9DB"/>
              <w:left w:val="nil"/>
              <w:bottom w:val="single" w:sz="4" w:space="0" w:color="8EA9DB"/>
              <w:right w:val="single" w:sz="4" w:space="0" w:color="8EA9DB"/>
            </w:tcBorders>
            <w:shd w:val="clear" w:color="D9E1F2" w:fill="D9E1F2"/>
            <w:noWrap/>
            <w:vAlign w:val="bottom"/>
            <w:hideMark/>
          </w:tcPr>
          <w:p w14:paraId="0CACF1B6" w14:textId="77777777" w:rsidR="000B0BF0" w:rsidRPr="000C755C" w:rsidRDefault="000B0BF0" w:rsidP="000B0BF0">
            <w:pPr>
              <w:spacing w:after="0" w:line="240" w:lineRule="auto"/>
              <w:jc w:val="center"/>
              <w:rPr>
                <w:rFonts w:ascii="Calibri" w:eastAsia="Times New Roman" w:hAnsi="Calibri" w:cs="Calibri"/>
                <w:color w:val="000000"/>
              </w:rPr>
            </w:pPr>
            <w:r w:rsidRPr="000C755C">
              <w:rPr>
                <w:rFonts w:ascii="Calibri" w:eastAsia="Times New Roman" w:hAnsi="Calibri" w:cs="Calibri"/>
                <w:color w:val="000000"/>
              </w:rPr>
              <w:t>0.51%</w:t>
            </w:r>
          </w:p>
        </w:tc>
      </w:tr>
      <w:tr w:rsidR="000B0BF0" w:rsidRPr="000C755C" w14:paraId="7166EB2F" w14:textId="77777777" w:rsidTr="000B0BF0">
        <w:trPr>
          <w:trHeight w:val="300"/>
        </w:trPr>
        <w:tc>
          <w:tcPr>
            <w:tcW w:w="3940" w:type="dxa"/>
            <w:tcBorders>
              <w:top w:val="single" w:sz="4" w:space="0" w:color="8EA9DB"/>
              <w:left w:val="single" w:sz="4" w:space="0" w:color="8EA9DB"/>
              <w:bottom w:val="single" w:sz="4" w:space="0" w:color="8EA9DB"/>
              <w:right w:val="nil"/>
            </w:tcBorders>
            <w:shd w:val="clear" w:color="auto" w:fill="auto"/>
            <w:noWrap/>
            <w:vAlign w:val="bottom"/>
            <w:hideMark/>
          </w:tcPr>
          <w:p w14:paraId="5A07535C" w14:textId="77777777" w:rsidR="000B0BF0" w:rsidRPr="000C755C" w:rsidRDefault="000B0BF0" w:rsidP="000B0BF0">
            <w:pPr>
              <w:spacing w:after="0" w:line="240" w:lineRule="auto"/>
              <w:rPr>
                <w:rFonts w:ascii="Calibri" w:eastAsia="Times New Roman" w:hAnsi="Calibri" w:cs="Calibri"/>
                <w:color w:val="000000"/>
              </w:rPr>
            </w:pPr>
            <w:r w:rsidRPr="000C755C">
              <w:rPr>
                <w:rFonts w:ascii="Calibri" w:eastAsia="Times New Roman" w:hAnsi="Calibri" w:cs="Calibri"/>
                <w:color w:val="000000"/>
              </w:rPr>
              <w:t>Goldstein Lainie</w:t>
            </w:r>
          </w:p>
        </w:tc>
        <w:tc>
          <w:tcPr>
            <w:tcW w:w="1540" w:type="dxa"/>
            <w:tcBorders>
              <w:top w:val="single" w:sz="4" w:space="0" w:color="8EA9DB"/>
              <w:left w:val="nil"/>
              <w:bottom w:val="single" w:sz="4" w:space="0" w:color="8EA9DB"/>
              <w:right w:val="single" w:sz="4" w:space="0" w:color="8EA9DB"/>
            </w:tcBorders>
            <w:shd w:val="clear" w:color="auto" w:fill="auto"/>
            <w:noWrap/>
            <w:vAlign w:val="bottom"/>
            <w:hideMark/>
          </w:tcPr>
          <w:p w14:paraId="6615E7B5" w14:textId="77777777" w:rsidR="000B0BF0" w:rsidRPr="000C755C" w:rsidRDefault="000B0BF0" w:rsidP="000B0BF0">
            <w:pPr>
              <w:spacing w:after="0" w:line="240" w:lineRule="auto"/>
              <w:jc w:val="center"/>
              <w:rPr>
                <w:rFonts w:ascii="Calibri" w:eastAsia="Times New Roman" w:hAnsi="Calibri" w:cs="Calibri"/>
                <w:color w:val="000000"/>
              </w:rPr>
            </w:pPr>
            <w:r w:rsidRPr="000C755C">
              <w:rPr>
                <w:rFonts w:ascii="Calibri" w:eastAsia="Times New Roman" w:hAnsi="Calibri" w:cs="Calibri"/>
                <w:color w:val="000000"/>
              </w:rPr>
              <w:t>0.19%</w:t>
            </w:r>
          </w:p>
        </w:tc>
      </w:tr>
      <w:tr w:rsidR="000B0BF0" w:rsidRPr="000C755C" w14:paraId="1B4FC428" w14:textId="77777777" w:rsidTr="000B0BF0">
        <w:trPr>
          <w:trHeight w:val="300"/>
        </w:trPr>
        <w:tc>
          <w:tcPr>
            <w:tcW w:w="3940" w:type="dxa"/>
            <w:tcBorders>
              <w:top w:val="single" w:sz="4" w:space="0" w:color="8EA9DB"/>
              <w:left w:val="single" w:sz="4" w:space="0" w:color="8EA9DB"/>
              <w:bottom w:val="single" w:sz="4" w:space="0" w:color="8EA9DB"/>
              <w:right w:val="nil"/>
            </w:tcBorders>
            <w:shd w:val="clear" w:color="D9E1F2" w:fill="D9E1F2"/>
            <w:noWrap/>
            <w:vAlign w:val="bottom"/>
            <w:hideMark/>
          </w:tcPr>
          <w:p w14:paraId="14596183" w14:textId="77777777" w:rsidR="000B0BF0" w:rsidRPr="000C755C" w:rsidRDefault="000B0BF0" w:rsidP="000B0BF0">
            <w:pPr>
              <w:spacing w:after="0" w:line="240" w:lineRule="auto"/>
              <w:rPr>
                <w:rFonts w:ascii="Calibri" w:eastAsia="Times New Roman" w:hAnsi="Calibri" w:cs="Calibri"/>
                <w:color w:val="000000"/>
              </w:rPr>
            </w:pPr>
            <w:proofErr w:type="spellStart"/>
            <w:r w:rsidRPr="000C755C">
              <w:rPr>
                <w:rFonts w:ascii="Calibri" w:eastAsia="Times New Roman" w:hAnsi="Calibri" w:cs="Calibri"/>
                <w:color w:val="000000"/>
              </w:rPr>
              <w:t>Zelnick</w:t>
            </w:r>
            <w:proofErr w:type="spellEnd"/>
            <w:r w:rsidRPr="000C755C">
              <w:rPr>
                <w:rFonts w:ascii="Calibri" w:eastAsia="Times New Roman" w:hAnsi="Calibri" w:cs="Calibri"/>
                <w:color w:val="000000"/>
              </w:rPr>
              <w:t xml:space="preserve"> Strauss</w:t>
            </w:r>
          </w:p>
        </w:tc>
        <w:tc>
          <w:tcPr>
            <w:tcW w:w="1540" w:type="dxa"/>
            <w:tcBorders>
              <w:top w:val="single" w:sz="4" w:space="0" w:color="8EA9DB"/>
              <w:left w:val="nil"/>
              <w:bottom w:val="single" w:sz="4" w:space="0" w:color="8EA9DB"/>
              <w:right w:val="single" w:sz="4" w:space="0" w:color="8EA9DB"/>
            </w:tcBorders>
            <w:shd w:val="clear" w:color="D9E1F2" w:fill="D9E1F2"/>
            <w:noWrap/>
            <w:vAlign w:val="bottom"/>
            <w:hideMark/>
          </w:tcPr>
          <w:p w14:paraId="43FEA6BF" w14:textId="77777777" w:rsidR="000B0BF0" w:rsidRPr="000C755C" w:rsidRDefault="000B0BF0" w:rsidP="000B0BF0">
            <w:pPr>
              <w:spacing w:after="0" w:line="240" w:lineRule="auto"/>
              <w:jc w:val="center"/>
              <w:rPr>
                <w:rFonts w:ascii="Calibri" w:eastAsia="Times New Roman" w:hAnsi="Calibri" w:cs="Calibri"/>
                <w:color w:val="000000"/>
              </w:rPr>
            </w:pPr>
            <w:r w:rsidRPr="000C755C">
              <w:rPr>
                <w:rFonts w:ascii="Calibri" w:eastAsia="Times New Roman" w:hAnsi="Calibri" w:cs="Calibri"/>
                <w:color w:val="000000"/>
              </w:rPr>
              <w:t>0.15%</w:t>
            </w:r>
          </w:p>
        </w:tc>
      </w:tr>
      <w:tr w:rsidR="000B0BF0" w:rsidRPr="000C755C" w14:paraId="17F6976C" w14:textId="77777777" w:rsidTr="000B0BF0">
        <w:trPr>
          <w:trHeight w:val="300"/>
        </w:trPr>
        <w:tc>
          <w:tcPr>
            <w:tcW w:w="3940" w:type="dxa"/>
            <w:tcBorders>
              <w:top w:val="single" w:sz="4" w:space="0" w:color="8EA9DB"/>
              <w:left w:val="single" w:sz="4" w:space="0" w:color="8EA9DB"/>
              <w:bottom w:val="single" w:sz="4" w:space="0" w:color="8EA9DB"/>
              <w:right w:val="nil"/>
            </w:tcBorders>
            <w:shd w:val="clear" w:color="auto" w:fill="auto"/>
            <w:noWrap/>
            <w:vAlign w:val="bottom"/>
            <w:hideMark/>
          </w:tcPr>
          <w:p w14:paraId="5E24F30B" w14:textId="77777777" w:rsidR="000B0BF0" w:rsidRPr="000C755C" w:rsidRDefault="000B0BF0" w:rsidP="000B0BF0">
            <w:pPr>
              <w:spacing w:after="0" w:line="240" w:lineRule="auto"/>
              <w:rPr>
                <w:rFonts w:ascii="Calibri" w:eastAsia="Times New Roman" w:hAnsi="Calibri" w:cs="Calibri"/>
                <w:color w:val="000000"/>
              </w:rPr>
            </w:pPr>
            <w:r w:rsidRPr="000C755C">
              <w:rPr>
                <w:rFonts w:ascii="Calibri" w:eastAsia="Times New Roman" w:hAnsi="Calibri" w:cs="Calibri"/>
                <w:color w:val="000000"/>
              </w:rPr>
              <w:t>Viera Paul Earnest</w:t>
            </w:r>
          </w:p>
        </w:tc>
        <w:tc>
          <w:tcPr>
            <w:tcW w:w="1540" w:type="dxa"/>
            <w:tcBorders>
              <w:top w:val="single" w:sz="4" w:space="0" w:color="8EA9DB"/>
              <w:left w:val="nil"/>
              <w:bottom w:val="single" w:sz="4" w:space="0" w:color="8EA9DB"/>
              <w:right w:val="single" w:sz="4" w:space="0" w:color="8EA9DB"/>
            </w:tcBorders>
            <w:shd w:val="clear" w:color="auto" w:fill="auto"/>
            <w:noWrap/>
            <w:vAlign w:val="bottom"/>
            <w:hideMark/>
          </w:tcPr>
          <w:p w14:paraId="4A8CD5E5" w14:textId="77777777" w:rsidR="000B0BF0" w:rsidRPr="000C755C" w:rsidRDefault="000B0BF0" w:rsidP="000B0BF0">
            <w:pPr>
              <w:spacing w:after="0" w:line="240" w:lineRule="auto"/>
              <w:jc w:val="center"/>
              <w:rPr>
                <w:rFonts w:ascii="Calibri" w:eastAsia="Times New Roman" w:hAnsi="Calibri" w:cs="Calibri"/>
                <w:color w:val="000000"/>
              </w:rPr>
            </w:pPr>
            <w:r w:rsidRPr="000C755C">
              <w:rPr>
                <w:rFonts w:ascii="Calibri" w:eastAsia="Times New Roman" w:hAnsi="Calibri" w:cs="Calibri"/>
                <w:color w:val="000000"/>
              </w:rPr>
              <w:t>0.07%</w:t>
            </w:r>
          </w:p>
        </w:tc>
      </w:tr>
      <w:tr w:rsidR="000B0BF0" w:rsidRPr="000C755C" w14:paraId="2B4BD694" w14:textId="77777777" w:rsidTr="000B0BF0">
        <w:trPr>
          <w:trHeight w:val="300"/>
        </w:trPr>
        <w:tc>
          <w:tcPr>
            <w:tcW w:w="3940" w:type="dxa"/>
            <w:tcBorders>
              <w:top w:val="single" w:sz="4" w:space="0" w:color="8EA9DB"/>
              <w:left w:val="single" w:sz="4" w:space="0" w:color="8EA9DB"/>
              <w:bottom w:val="single" w:sz="4" w:space="0" w:color="8EA9DB"/>
              <w:right w:val="nil"/>
            </w:tcBorders>
            <w:shd w:val="clear" w:color="D9E1F2" w:fill="D9E1F2"/>
            <w:noWrap/>
            <w:vAlign w:val="bottom"/>
            <w:hideMark/>
          </w:tcPr>
          <w:p w14:paraId="6A1BCCEB" w14:textId="77777777" w:rsidR="000B0BF0" w:rsidRPr="000C755C" w:rsidRDefault="000B0BF0" w:rsidP="000B0BF0">
            <w:pPr>
              <w:spacing w:after="0" w:line="240" w:lineRule="auto"/>
              <w:rPr>
                <w:rFonts w:ascii="Calibri" w:eastAsia="Times New Roman" w:hAnsi="Calibri" w:cs="Calibri"/>
                <w:color w:val="000000"/>
              </w:rPr>
            </w:pPr>
            <w:r w:rsidRPr="000C755C">
              <w:rPr>
                <w:rFonts w:ascii="Calibri" w:eastAsia="Times New Roman" w:hAnsi="Calibri" w:cs="Calibri"/>
                <w:color w:val="000000"/>
              </w:rPr>
              <w:t xml:space="preserve">Michael James </w:t>
            </w:r>
            <w:proofErr w:type="spellStart"/>
            <w:r w:rsidRPr="000C755C">
              <w:rPr>
                <w:rFonts w:ascii="Calibri" w:eastAsia="Times New Roman" w:hAnsi="Calibri" w:cs="Calibri"/>
                <w:color w:val="000000"/>
              </w:rPr>
              <w:t>Sheresky</w:t>
            </w:r>
            <w:proofErr w:type="spellEnd"/>
          </w:p>
        </w:tc>
        <w:tc>
          <w:tcPr>
            <w:tcW w:w="1540" w:type="dxa"/>
            <w:tcBorders>
              <w:top w:val="single" w:sz="4" w:space="0" w:color="8EA9DB"/>
              <w:left w:val="nil"/>
              <w:bottom w:val="single" w:sz="4" w:space="0" w:color="8EA9DB"/>
              <w:right w:val="single" w:sz="4" w:space="0" w:color="8EA9DB"/>
            </w:tcBorders>
            <w:shd w:val="clear" w:color="D9E1F2" w:fill="D9E1F2"/>
            <w:noWrap/>
            <w:vAlign w:val="bottom"/>
            <w:hideMark/>
          </w:tcPr>
          <w:p w14:paraId="47914689" w14:textId="77777777" w:rsidR="000B0BF0" w:rsidRPr="000C755C" w:rsidRDefault="000B0BF0" w:rsidP="000B0BF0">
            <w:pPr>
              <w:spacing w:after="0" w:line="240" w:lineRule="auto"/>
              <w:jc w:val="center"/>
              <w:rPr>
                <w:rFonts w:ascii="Calibri" w:eastAsia="Times New Roman" w:hAnsi="Calibri" w:cs="Calibri"/>
                <w:color w:val="000000"/>
              </w:rPr>
            </w:pPr>
            <w:r w:rsidRPr="000C755C">
              <w:rPr>
                <w:rFonts w:ascii="Calibri" w:eastAsia="Times New Roman" w:hAnsi="Calibri" w:cs="Calibri"/>
                <w:color w:val="000000"/>
              </w:rPr>
              <w:t>0.05%</w:t>
            </w:r>
          </w:p>
        </w:tc>
      </w:tr>
    </w:tbl>
    <w:p w14:paraId="2E79776C" w14:textId="04E73936" w:rsidR="005D0859" w:rsidRDefault="005D0859" w:rsidP="00F95EEB"/>
    <w:p w14:paraId="358A9154" w14:textId="1FF60CA6" w:rsidR="005D0859" w:rsidRDefault="005D0859" w:rsidP="00F95EEB"/>
    <w:p w14:paraId="3D4FFA92" w14:textId="77777777" w:rsidR="005D0859" w:rsidRPr="003459A1" w:rsidRDefault="005D0859" w:rsidP="00F95EEB"/>
    <w:p w14:paraId="7AD139EF" w14:textId="77777777" w:rsidR="00C163AE" w:rsidRDefault="00C163AE" w:rsidP="00F95EEB"/>
    <w:p w14:paraId="4D825561" w14:textId="0B558B72" w:rsidR="00324094" w:rsidRDefault="00324094" w:rsidP="00F95EEB"/>
    <w:p w14:paraId="0F83FA8D" w14:textId="26BC1ED9" w:rsidR="00B718CD" w:rsidRDefault="00B718CD" w:rsidP="00F95EEB"/>
    <w:sectPr w:rsidR="00B718CD" w:rsidSect="00C20B4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6E71D" w14:textId="77777777" w:rsidR="006B0BA4" w:rsidRDefault="006B0BA4" w:rsidP="00453603">
      <w:pPr>
        <w:spacing w:after="0" w:line="240" w:lineRule="auto"/>
      </w:pPr>
      <w:r>
        <w:separator/>
      </w:r>
    </w:p>
  </w:endnote>
  <w:endnote w:type="continuationSeparator" w:id="0">
    <w:p w14:paraId="27923CFA" w14:textId="77777777" w:rsidR="006B0BA4" w:rsidRDefault="006B0BA4" w:rsidP="0045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low Solid Italic">
    <w:altName w:val="Trebuchet MS"/>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26DC1" w14:textId="2F0004DD" w:rsidR="00C20B40" w:rsidRDefault="00744BEE" w:rsidP="00C20B40">
    <w:pPr>
      <w:pStyle w:val="Footer"/>
      <w:pBdr>
        <w:top w:val="single" w:sz="24" w:space="1" w:color="FFC000"/>
      </w:pBdr>
      <w:jc w:val="center"/>
      <w:rPr>
        <w:i/>
      </w:rPr>
    </w:pPr>
    <w:r>
      <w:rPr>
        <w:rFonts w:ascii="Harlow Solid Italic" w:eastAsiaTheme="minorEastAsia" w:hAnsi="Harlow Solid Italic"/>
        <w:b/>
        <w:noProof/>
        <w:color w:val="1F3864" w:themeColor="accent1" w:themeShade="80"/>
        <w:kern w:val="24"/>
      </w:rPr>
      <mc:AlternateContent>
        <mc:Choice Requires="wps">
          <w:drawing>
            <wp:anchor distT="0" distB="0" distL="114300" distR="114300" simplePos="0" relativeHeight="251659264" behindDoc="0" locked="0" layoutInCell="1" allowOverlap="1" wp14:anchorId="3FD530B1" wp14:editId="745A073F">
              <wp:simplePos x="0" y="0"/>
              <wp:positionH relativeFrom="column">
                <wp:posOffset>-123825</wp:posOffset>
              </wp:positionH>
              <wp:positionV relativeFrom="paragraph">
                <wp:posOffset>247650</wp:posOffset>
              </wp:positionV>
              <wp:extent cx="4591050" cy="314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591050" cy="314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9212BA" w14:textId="3A06329D" w:rsidR="00744BEE" w:rsidRPr="00AB0A67" w:rsidRDefault="00744BEE" w:rsidP="00744BEE">
                          <w:pPr>
                            <w:pBdr>
                              <w:top w:val="single" w:sz="4" w:space="1" w:color="auto"/>
                              <w:left w:val="single" w:sz="4" w:space="4" w:color="auto"/>
                              <w:bottom w:val="single" w:sz="4" w:space="1" w:color="auto"/>
                              <w:right w:val="single" w:sz="4" w:space="4" w:color="auto"/>
                            </w:pBdr>
                            <w:shd w:val="clear" w:color="auto" w:fill="D9E2F3" w:themeFill="accent1" w:themeFillTint="33"/>
                            <w:rPr>
                              <w:sz w:val="20"/>
                              <w:szCs w:val="20"/>
                            </w:rPr>
                          </w:pPr>
                          <w:r>
                            <w:rPr>
                              <w:sz w:val="20"/>
                              <w:szCs w:val="20"/>
                            </w:rPr>
                            <w:t xml:space="preserve">Junior </w:t>
                          </w:r>
                          <w:r w:rsidRPr="00AB0A67">
                            <w:rPr>
                              <w:sz w:val="20"/>
                              <w:szCs w:val="20"/>
                            </w:rPr>
                            <w:t xml:space="preserve">Analysts: </w:t>
                          </w:r>
                          <w:r>
                            <w:rPr>
                              <w:sz w:val="20"/>
                              <w:szCs w:val="20"/>
                            </w:rPr>
                            <w:t>Kinan Abouzelam &amp; Sam Bakken</w:t>
                          </w:r>
                          <w:r w:rsidRPr="00AB0A67">
                            <w:rPr>
                              <w:sz w:val="20"/>
                              <w:szCs w:val="20"/>
                            </w:rPr>
                            <w:t xml:space="preserve"> – Senior Analyst: </w:t>
                          </w:r>
                          <w:r>
                            <w:rPr>
                              <w:sz w:val="20"/>
                              <w:szCs w:val="20"/>
                            </w:rPr>
                            <w:t>Bradley Dobson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530B1" id="_x0000_t202" coordsize="21600,21600" o:spt="202" path="m,l,21600r21600,l21600,xe">
              <v:stroke joinstyle="miter"/>
              <v:path gradientshapeok="t" o:connecttype="rect"/>
            </v:shapetype>
            <v:shape id="Text Box 4" o:spid="_x0000_s1026" type="#_x0000_t202" style="position:absolute;left:0;text-align:left;margin-left:-9.75pt;margin-top:19.5pt;width:36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" filled="f" stroked="f">
              <v:textbox>
                <w:txbxContent>
                  <w:p w14:paraId="0C9212BA" w14:textId="3A06329D" w:rsidR="00744BEE" w:rsidRPr="00AB0A67" w:rsidRDefault="00744BEE" w:rsidP="00744BEE">
                    <w:pPr>
                      <w:pBdr>
                        <w:top w:val="single" w:sz="4" w:space="1" w:color="auto"/>
                        <w:left w:val="single" w:sz="4" w:space="4" w:color="auto"/>
                        <w:bottom w:val="single" w:sz="4" w:space="1" w:color="auto"/>
                        <w:right w:val="single" w:sz="4" w:space="4" w:color="auto"/>
                      </w:pBdr>
                      <w:shd w:val="clear" w:color="auto" w:fill="D9E2F3" w:themeFill="accent1" w:themeFillTint="33"/>
                      <w:rPr>
                        <w:sz w:val="20"/>
                        <w:szCs w:val="20"/>
                      </w:rPr>
                    </w:pPr>
                    <w:r>
                      <w:rPr>
                        <w:sz w:val="20"/>
                        <w:szCs w:val="20"/>
                      </w:rPr>
                      <w:t xml:space="preserve">Junior </w:t>
                    </w:r>
                    <w:r w:rsidRPr="00AB0A67">
                      <w:rPr>
                        <w:sz w:val="20"/>
                        <w:szCs w:val="20"/>
                      </w:rPr>
                      <w:t xml:space="preserve">Analysts: </w:t>
                    </w:r>
                    <w:r>
                      <w:rPr>
                        <w:sz w:val="20"/>
                        <w:szCs w:val="20"/>
                      </w:rPr>
                      <w:t>Kinan Abouzelam &amp; Sam Bakken</w:t>
                    </w:r>
                    <w:r w:rsidRPr="00AB0A67">
                      <w:rPr>
                        <w:sz w:val="20"/>
                        <w:szCs w:val="20"/>
                      </w:rPr>
                      <w:t xml:space="preserve"> – Senior Analyst: </w:t>
                    </w:r>
                    <w:r>
                      <w:rPr>
                        <w:sz w:val="20"/>
                        <w:szCs w:val="20"/>
                      </w:rPr>
                      <w:t>Bradley Dobson</w:t>
                    </w:r>
                  </w:p>
                </w:txbxContent>
              </v:textbox>
            </v:shape>
          </w:pict>
        </mc:Fallback>
      </mc:AlternateContent>
    </w:r>
    <w:r w:rsidR="00C20B40">
      <w:rPr>
        <w:i/>
      </w:rPr>
      <w:t>Excellence.  Our Measure.  Our Motto.  Our Goal.</w:t>
    </w:r>
  </w:p>
  <w:p w14:paraId="37F098E9" w14:textId="0C5EE190" w:rsidR="00C20B40" w:rsidRPr="00C20B40" w:rsidRDefault="00C20B40" w:rsidP="00C20B40">
    <w:pPr>
      <w:pStyle w:val="Footer"/>
      <w:jc w:val="right"/>
      <w:rPr>
        <w:i/>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Pr="00A34EFB">
      <w:rPr>
        <w:i/>
        <w:color w:val="7F7F7F" w:themeColor="background1" w:themeShade="7F"/>
        <w:spacing w:val="60"/>
      </w:rPr>
      <w:t>Page</w:t>
    </w:r>
    <w:r w:rsidRPr="00A34EFB">
      <w:rPr>
        <w:i/>
      </w:rPr>
      <w:t xml:space="preserve"> </w:t>
    </w:r>
    <w:r w:rsidRPr="00C20B40">
      <w:rPr>
        <w:i/>
      </w:rPr>
      <w:fldChar w:fldCharType="begin"/>
    </w:r>
    <w:r w:rsidRPr="00C20B40">
      <w:rPr>
        <w:i/>
      </w:rPr>
      <w:instrText xml:space="preserve"> PAGE   \* MERGEFORMAT </w:instrText>
    </w:r>
    <w:r w:rsidRPr="00C20B40">
      <w:rPr>
        <w:i/>
      </w:rPr>
      <w:fldChar w:fldCharType="separate"/>
    </w:r>
    <w:r w:rsidRPr="00C20B40">
      <w:rPr>
        <w:i/>
        <w:noProof/>
      </w:rPr>
      <w:t>1</w:t>
    </w:r>
    <w:r w:rsidRPr="00C20B40">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95617" w14:textId="77777777" w:rsidR="006B0BA4" w:rsidRDefault="006B0BA4" w:rsidP="00453603">
      <w:pPr>
        <w:spacing w:after="0" w:line="240" w:lineRule="auto"/>
      </w:pPr>
      <w:r>
        <w:separator/>
      </w:r>
    </w:p>
  </w:footnote>
  <w:footnote w:type="continuationSeparator" w:id="0">
    <w:p w14:paraId="60864230" w14:textId="77777777" w:rsidR="006B0BA4" w:rsidRDefault="006B0BA4" w:rsidP="00453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A0D1B" w14:textId="77777777" w:rsidR="00453603" w:rsidRPr="00387D96" w:rsidRDefault="00453603" w:rsidP="00453603">
    <w:pPr>
      <w:rPr>
        <w:rFonts w:ascii="Calibri" w:eastAsia="Times New Roman" w:hAnsi="Calibri" w:cs="Calibri"/>
        <w:b/>
        <w:bCs/>
        <w:color w:val="1E4C77"/>
      </w:rPr>
    </w:pPr>
    <w:r w:rsidRPr="00D053E4">
      <w:rPr>
        <w:rFonts w:ascii="Calibri" w:eastAsia="Times New Roman" w:hAnsi="Calibri" w:cs="Calibri"/>
        <w:b/>
        <w:bCs/>
        <w:color w:val="1E4C77"/>
      </w:rPr>
      <w:t>UWEC Student Managed Investment Fund Fall 20</w:t>
    </w:r>
    <w:r>
      <w:rPr>
        <w:rFonts w:ascii="Calibri" w:eastAsia="Times New Roman" w:hAnsi="Calibri" w:cs="Calibri"/>
        <w:b/>
        <w:bCs/>
        <w:color w:val="1E4C77"/>
      </w:rPr>
      <w:t>20</w:t>
    </w:r>
    <w:r>
      <w:rPr>
        <w:rFonts w:ascii="Calibri" w:eastAsia="Times New Roman" w:hAnsi="Calibri" w:cs="Calibri"/>
        <w:b/>
        <w:bCs/>
        <w:color w:val="1E4C77"/>
      </w:rPr>
      <w:tab/>
    </w:r>
    <w:r w:rsidRPr="00D053E4">
      <w:rPr>
        <w:rFonts w:ascii="Calibri" w:eastAsia="Times New Roman" w:hAnsi="Calibri" w:cs="Calibri"/>
        <w:b/>
        <w:bCs/>
        <w:color w:val="1E4C77"/>
      </w:rPr>
      <w:t xml:space="preserve"> </w:t>
    </w:r>
    <w:r w:rsidRPr="00D053E4">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"C:\\var\\folders\\xr\\66_0g9bs539gbqfk6tt9y7p00000gn\\T\\com.microsoft.Word\\WebArchiveCopyPasteTempFiles\\page1image3360794624" \* MERGEFORMAT </w:instrText>
    </w:r>
    <w:r w:rsidRPr="00D053E4">
      <w:rPr>
        <w:rFonts w:ascii="Times New Roman" w:eastAsia="Times New Roman" w:hAnsi="Times New Roman" w:cs="Times New Roman"/>
      </w:rPr>
      <w:fldChar w:fldCharType="separate"/>
    </w:r>
    <w:r w:rsidRPr="00D053E4">
      <w:rPr>
        <w:rFonts w:ascii="Times New Roman" w:eastAsia="Times New Roman" w:hAnsi="Times New Roman" w:cs="Times New Roman"/>
        <w:noProof/>
      </w:rPr>
      <w:drawing>
        <wp:inline distT="0" distB="0" distL="0" distR="0" wp14:anchorId="770E32E0" wp14:editId="76C2A1F3">
          <wp:extent cx="2133600" cy="368300"/>
          <wp:effectExtent l="0" t="0" r="0" b="0"/>
          <wp:docPr id="2" name="Picture 2" descr="page1image336079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607946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68300"/>
                  </a:xfrm>
                  <a:prstGeom prst="rect">
                    <a:avLst/>
                  </a:prstGeom>
                  <a:noFill/>
                  <a:ln>
                    <a:noFill/>
                  </a:ln>
                </pic:spPr>
              </pic:pic>
            </a:graphicData>
          </a:graphic>
        </wp:inline>
      </w:drawing>
    </w:r>
    <w:r w:rsidRPr="00D053E4">
      <w:rPr>
        <w:rFonts w:ascii="Times New Roman" w:eastAsia="Times New Roman" w:hAnsi="Times New Roman" w:cs="Times New Roman"/>
      </w:rPr>
      <w:fldChar w:fldCharType="end"/>
    </w:r>
  </w:p>
  <w:p w14:paraId="79D71845" w14:textId="354C1297" w:rsidR="00453603" w:rsidRPr="00453603" w:rsidRDefault="00453603" w:rsidP="00453603">
    <w:pPr>
      <w:rPr>
        <w:rFonts w:ascii="Times New Roman" w:eastAsia="Times New Roman" w:hAnsi="Times New Roman" w:cs="Times New Roman"/>
      </w:rPr>
    </w:pPr>
    <w:r w:rsidRPr="007D31E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"C:\\var\\folders\\xr\\66_0g9bs539gbqfk6tt9y7p00000gn\\T\\com.microsoft.Word\\WebArchiveCopyPasteTempFiles\\page1image2118825216" \* MERGEFORMAT </w:instrText>
    </w:r>
    <w:r w:rsidRPr="007D31E1">
      <w:rPr>
        <w:rFonts w:ascii="Times New Roman" w:eastAsia="Times New Roman" w:hAnsi="Times New Roman" w:cs="Times New Roman"/>
      </w:rPr>
      <w:fldChar w:fldCharType="separate"/>
    </w:r>
    <w:r>
      <w:rPr>
        <w:noProof/>
      </w:rPr>
      <w:drawing>
        <wp:inline distT="0" distB="0" distL="0" distR="0" wp14:anchorId="23CBDABE" wp14:editId="5E93816A">
          <wp:extent cx="5943600" cy="38100"/>
          <wp:effectExtent l="0" t="0" r="0" b="0"/>
          <wp:docPr id="7" name="Picture 7" descr="page1image211882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5943600" cy="38100"/>
                  </a:xfrm>
                  <a:prstGeom prst="rect">
                    <a:avLst/>
                  </a:prstGeom>
                </pic:spPr>
              </pic:pic>
            </a:graphicData>
          </a:graphic>
        </wp:inline>
      </w:drawing>
    </w:r>
    <w:r w:rsidRPr="007D31E1">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CED"/>
    <w:multiLevelType w:val="hybridMultilevel"/>
    <w:tmpl w:val="E3667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80F8A"/>
    <w:multiLevelType w:val="hybridMultilevel"/>
    <w:tmpl w:val="A0EADAFA"/>
    <w:lvl w:ilvl="0" w:tplc="2900518E">
      <w:start w:val="1"/>
      <w:numFmt w:val="bullet"/>
      <w:lvlText w:val="•"/>
      <w:lvlJc w:val="left"/>
      <w:pPr>
        <w:tabs>
          <w:tab w:val="num" w:pos="720"/>
        </w:tabs>
        <w:ind w:left="720" w:hanging="360"/>
      </w:pPr>
      <w:rPr>
        <w:rFonts w:ascii="Arial" w:hAnsi="Arial" w:hint="default"/>
      </w:rPr>
    </w:lvl>
    <w:lvl w:ilvl="1" w:tplc="410E3790">
      <w:numFmt w:val="bullet"/>
      <w:lvlText w:val="•"/>
      <w:lvlJc w:val="left"/>
      <w:pPr>
        <w:tabs>
          <w:tab w:val="num" w:pos="1440"/>
        </w:tabs>
        <w:ind w:left="1440" w:hanging="360"/>
      </w:pPr>
      <w:rPr>
        <w:rFonts w:ascii="Arial" w:hAnsi="Arial" w:hint="default"/>
      </w:rPr>
    </w:lvl>
    <w:lvl w:ilvl="2" w:tplc="1EB684D6" w:tentative="1">
      <w:start w:val="1"/>
      <w:numFmt w:val="bullet"/>
      <w:lvlText w:val="•"/>
      <w:lvlJc w:val="left"/>
      <w:pPr>
        <w:tabs>
          <w:tab w:val="num" w:pos="2160"/>
        </w:tabs>
        <w:ind w:left="2160" w:hanging="360"/>
      </w:pPr>
      <w:rPr>
        <w:rFonts w:ascii="Arial" w:hAnsi="Arial" w:hint="default"/>
      </w:rPr>
    </w:lvl>
    <w:lvl w:ilvl="3" w:tplc="688AE3A0" w:tentative="1">
      <w:start w:val="1"/>
      <w:numFmt w:val="bullet"/>
      <w:lvlText w:val="•"/>
      <w:lvlJc w:val="left"/>
      <w:pPr>
        <w:tabs>
          <w:tab w:val="num" w:pos="2880"/>
        </w:tabs>
        <w:ind w:left="2880" w:hanging="360"/>
      </w:pPr>
      <w:rPr>
        <w:rFonts w:ascii="Arial" w:hAnsi="Arial" w:hint="default"/>
      </w:rPr>
    </w:lvl>
    <w:lvl w:ilvl="4" w:tplc="1FDED7FE" w:tentative="1">
      <w:start w:val="1"/>
      <w:numFmt w:val="bullet"/>
      <w:lvlText w:val="•"/>
      <w:lvlJc w:val="left"/>
      <w:pPr>
        <w:tabs>
          <w:tab w:val="num" w:pos="3600"/>
        </w:tabs>
        <w:ind w:left="3600" w:hanging="360"/>
      </w:pPr>
      <w:rPr>
        <w:rFonts w:ascii="Arial" w:hAnsi="Arial" w:hint="default"/>
      </w:rPr>
    </w:lvl>
    <w:lvl w:ilvl="5" w:tplc="DA6885D0" w:tentative="1">
      <w:start w:val="1"/>
      <w:numFmt w:val="bullet"/>
      <w:lvlText w:val="•"/>
      <w:lvlJc w:val="left"/>
      <w:pPr>
        <w:tabs>
          <w:tab w:val="num" w:pos="4320"/>
        </w:tabs>
        <w:ind w:left="4320" w:hanging="360"/>
      </w:pPr>
      <w:rPr>
        <w:rFonts w:ascii="Arial" w:hAnsi="Arial" w:hint="default"/>
      </w:rPr>
    </w:lvl>
    <w:lvl w:ilvl="6" w:tplc="DDB615F0" w:tentative="1">
      <w:start w:val="1"/>
      <w:numFmt w:val="bullet"/>
      <w:lvlText w:val="•"/>
      <w:lvlJc w:val="left"/>
      <w:pPr>
        <w:tabs>
          <w:tab w:val="num" w:pos="5040"/>
        </w:tabs>
        <w:ind w:left="5040" w:hanging="360"/>
      </w:pPr>
      <w:rPr>
        <w:rFonts w:ascii="Arial" w:hAnsi="Arial" w:hint="default"/>
      </w:rPr>
    </w:lvl>
    <w:lvl w:ilvl="7" w:tplc="1FD23806" w:tentative="1">
      <w:start w:val="1"/>
      <w:numFmt w:val="bullet"/>
      <w:lvlText w:val="•"/>
      <w:lvlJc w:val="left"/>
      <w:pPr>
        <w:tabs>
          <w:tab w:val="num" w:pos="5760"/>
        </w:tabs>
        <w:ind w:left="5760" w:hanging="360"/>
      </w:pPr>
      <w:rPr>
        <w:rFonts w:ascii="Arial" w:hAnsi="Arial" w:hint="default"/>
      </w:rPr>
    </w:lvl>
    <w:lvl w:ilvl="8" w:tplc="9D741B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91"/>
    <w:rsid w:val="0001004F"/>
    <w:rsid w:val="00040A63"/>
    <w:rsid w:val="00041A5B"/>
    <w:rsid w:val="000A1235"/>
    <w:rsid w:val="000A2BF7"/>
    <w:rsid w:val="000B0BF0"/>
    <w:rsid w:val="000C755C"/>
    <w:rsid w:val="000E65AF"/>
    <w:rsid w:val="000E6640"/>
    <w:rsid w:val="000F184C"/>
    <w:rsid w:val="00101236"/>
    <w:rsid w:val="00111E19"/>
    <w:rsid w:val="0012047E"/>
    <w:rsid w:val="001228C2"/>
    <w:rsid w:val="00127036"/>
    <w:rsid w:val="00146C05"/>
    <w:rsid w:val="001510D9"/>
    <w:rsid w:val="0018653B"/>
    <w:rsid w:val="001A008C"/>
    <w:rsid w:val="00201EB9"/>
    <w:rsid w:val="00204AC7"/>
    <w:rsid w:val="002321CB"/>
    <w:rsid w:val="002525CB"/>
    <w:rsid w:val="002560BC"/>
    <w:rsid w:val="00287776"/>
    <w:rsid w:val="00291514"/>
    <w:rsid w:val="00292A95"/>
    <w:rsid w:val="002A265D"/>
    <w:rsid w:val="002F0BA5"/>
    <w:rsid w:val="002F1275"/>
    <w:rsid w:val="0032189A"/>
    <w:rsid w:val="00324094"/>
    <w:rsid w:val="00326301"/>
    <w:rsid w:val="00333DCF"/>
    <w:rsid w:val="003459A1"/>
    <w:rsid w:val="00352D04"/>
    <w:rsid w:val="00354675"/>
    <w:rsid w:val="00361B3E"/>
    <w:rsid w:val="00382783"/>
    <w:rsid w:val="00397867"/>
    <w:rsid w:val="003D55BA"/>
    <w:rsid w:val="003E00C9"/>
    <w:rsid w:val="003E1AB4"/>
    <w:rsid w:val="00401720"/>
    <w:rsid w:val="004051B8"/>
    <w:rsid w:val="0041736D"/>
    <w:rsid w:val="004215BE"/>
    <w:rsid w:val="00444FA9"/>
    <w:rsid w:val="00450D74"/>
    <w:rsid w:val="00453603"/>
    <w:rsid w:val="00466419"/>
    <w:rsid w:val="004826C3"/>
    <w:rsid w:val="004A354A"/>
    <w:rsid w:val="004E6A16"/>
    <w:rsid w:val="005264FF"/>
    <w:rsid w:val="00532C44"/>
    <w:rsid w:val="005769C7"/>
    <w:rsid w:val="00580099"/>
    <w:rsid w:val="005848BE"/>
    <w:rsid w:val="005B5AA4"/>
    <w:rsid w:val="005C3CD7"/>
    <w:rsid w:val="005C736A"/>
    <w:rsid w:val="005D0859"/>
    <w:rsid w:val="005D6A0A"/>
    <w:rsid w:val="00623F60"/>
    <w:rsid w:val="00663ADF"/>
    <w:rsid w:val="006A2D3C"/>
    <w:rsid w:val="006B0BA4"/>
    <w:rsid w:val="006B7FBD"/>
    <w:rsid w:val="00714FAA"/>
    <w:rsid w:val="0072332D"/>
    <w:rsid w:val="00744BEE"/>
    <w:rsid w:val="007534E8"/>
    <w:rsid w:val="00754CD4"/>
    <w:rsid w:val="00763BAB"/>
    <w:rsid w:val="00784B25"/>
    <w:rsid w:val="007B5CE6"/>
    <w:rsid w:val="007B78B8"/>
    <w:rsid w:val="007C1F12"/>
    <w:rsid w:val="007C5939"/>
    <w:rsid w:val="007E26FA"/>
    <w:rsid w:val="007F53B2"/>
    <w:rsid w:val="008023A0"/>
    <w:rsid w:val="00812745"/>
    <w:rsid w:val="00813FCE"/>
    <w:rsid w:val="008371E8"/>
    <w:rsid w:val="008709CA"/>
    <w:rsid w:val="008B036E"/>
    <w:rsid w:val="008B1148"/>
    <w:rsid w:val="008B496F"/>
    <w:rsid w:val="008F23C8"/>
    <w:rsid w:val="008F7D03"/>
    <w:rsid w:val="009108FA"/>
    <w:rsid w:val="00946437"/>
    <w:rsid w:val="0095712C"/>
    <w:rsid w:val="00973B12"/>
    <w:rsid w:val="009C252F"/>
    <w:rsid w:val="009C2C21"/>
    <w:rsid w:val="009D7919"/>
    <w:rsid w:val="009E1037"/>
    <w:rsid w:val="00A10515"/>
    <w:rsid w:val="00A1118B"/>
    <w:rsid w:val="00A71211"/>
    <w:rsid w:val="00A96F95"/>
    <w:rsid w:val="00AE2D68"/>
    <w:rsid w:val="00AF15EF"/>
    <w:rsid w:val="00B251FF"/>
    <w:rsid w:val="00B27677"/>
    <w:rsid w:val="00B32226"/>
    <w:rsid w:val="00B376DF"/>
    <w:rsid w:val="00B448AA"/>
    <w:rsid w:val="00B718CD"/>
    <w:rsid w:val="00B83E9C"/>
    <w:rsid w:val="00C1078B"/>
    <w:rsid w:val="00C15C79"/>
    <w:rsid w:val="00C163AE"/>
    <w:rsid w:val="00C20B40"/>
    <w:rsid w:val="00C224EC"/>
    <w:rsid w:val="00C30790"/>
    <w:rsid w:val="00C45B8D"/>
    <w:rsid w:val="00C640FB"/>
    <w:rsid w:val="00C71AB8"/>
    <w:rsid w:val="00CA35D9"/>
    <w:rsid w:val="00CB3517"/>
    <w:rsid w:val="00CB438F"/>
    <w:rsid w:val="00CB71AD"/>
    <w:rsid w:val="00CC4245"/>
    <w:rsid w:val="00CE2EA6"/>
    <w:rsid w:val="00CE4F91"/>
    <w:rsid w:val="00CF5B87"/>
    <w:rsid w:val="00D00DC3"/>
    <w:rsid w:val="00D3140B"/>
    <w:rsid w:val="00D35923"/>
    <w:rsid w:val="00D36F6C"/>
    <w:rsid w:val="00D52F89"/>
    <w:rsid w:val="00D761FF"/>
    <w:rsid w:val="00D83F41"/>
    <w:rsid w:val="00D944B0"/>
    <w:rsid w:val="00DC5205"/>
    <w:rsid w:val="00DD4C0D"/>
    <w:rsid w:val="00E30615"/>
    <w:rsid w:val="00E5452C"/>
    <w:rsid w:val="00E63673"/>
    <w:rsid w:val="00E66F57"/>
    <w:rsid w:val="00EC0309"/>
    <w:rsid w:val="00EC394D"/>
    <w:rsid w:val="00EF5336"/>
    <w:rsid w:val="00EF6781"/>
    <w:rsid w:val="00F01A46"/>
    <w:rsid w:val="00F1611E"/>
    <w:rsid w:val="00F34E3C"/>
    <w:rsid w:val="00F43A70"/>
    <w:rsid w:val="00F57084"/>
    <w:rsid w:val="00F63E58"/>
    <w:rsid w:val="00F661DB"/>
    <w:rsid w:val="00F66493"/>
    <w:rsid w:val="00F95EEB"/>
    <w:rsid w:val="00FA5D29"/>
    <w:rsid w:val="00FC1656"/>
    <w:rsid w:val="00FC4904"/>
    <w:rsid w:val="00FC636F"/>
    <w:rsid w:val="00FD719C"/>
    <w:rsid w:val="00FE3BB2"/>
    <w:rsid w:val="00F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8BCAA"/>
  <w15:chartTrackingRefBased/>
  <w15:docId w15:val="{CFE0EFCA-A76D-4E14-963E-EEC4053E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63"/>
    <w:pPr>
      <w:ind w:left="720"/>
      <w:contextualSpacing/>
    </w:pPr>
  </w:style>
  <w:style w:type="paragraph" w:styleId="Header">
    <w:name w:val="header"/>
    <w:basedOn w:val="Normal"/>
    <w:link w:val="HeaderChar"/>
    <w:uiPriority w:val="99"/>
    <w:unhideWhenUsed/>
    <w:rsid w:val="00453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603"/>
  </w:style>
  <w:style w:type="paragraph" w:styleId="Footer">
    <w:name w:val="footer"/>
    <w:basedOn w:val="Normal"/>
    <w:link w:val="FooterChar"/>
    <w:uiPriority w:val="99"/>
    <w:unhideWhenUsed/>
    <w:rsid w:val="00453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603"/>
  </w:style>
  <w:style w:type="paragraph" w:styleId="BalloonText">
    <w:name w:val="Balloon Text"/>
    <w:basedOn w:val="Normal"/>
    <w:link w:val="BalloonTextChar"/>
    <w:uiPriority w:val="99"/>
    <w:semiHidden/>
    <w:unhideWhenUsed/>
    <w:rsid w:val="00C20B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0B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86256">
      <w:bodyDiv w:val="1"/>
      <w:marLeft w:val="0"/>
      <w:marRight w:val="0"/>
      <w:marTop w:val="0"/>
      <w:marBottom w:val="0"/>
      <w:divBdr>
        <w:top w:val="none" w:sz="0" w:space="0" w:color="auto"/>
        <w:left w:val="none" w:sz="0" w:space="0" w:color="auto"/>
        <w:bottom w:val="none" w:sz="0" w:space="0" w:color="auto"/>
        <w:right w:val="none" w:sz="0" w:space="0" w:color="auto"/>
      </w:divBdr>
    </w:div>
    <w:div w:id="246547000">
      <w:bodyDiv w:val="1"/>
      <w:marLeft w:val="0"/>
      <w:marRight w:val="0"/>
      <w:marTop w:val="0"/>
      <w:marBottom w:val="0"/>
      <w:divBdr>
        <w:top w:val="none" w:sz="0" w:space="0" w:color="auto"/>
        <w:left w:val="none" w:sz="0" w:space="0" w:color="auto"/>
        <w:bottom w:val="none" w:sz="0" w:space="0" w:color="auto"/>
        <w:right w:val="none" w:sz="0" w:space="0" w:color="auto"/>
      </w:divBdr>
    </w:div>
    <w:div w:id="250093149">
      <w:bodyDiv w:val="1"/>
      <w:marLeft w:val="0"/>
      <w:marRight w:val="0"/>
      <w:marTop w:val="0"/>
      <w:marBottom w:val="0"/>
      <w:divBdr>
        <w:top w:val="none" w:sz="0" w:space="0" w:color="auto"/>
        <w:left w:val="none" w:sz="0" w:space="0" w:color="auto"/>
        <w:bottom w:val="none" w:sz="0" w:space="0" w:color="auto"/>
        <w:right w:val="none" w:sz="0" w:space="0" w:color="auto"/>
      </w:divBdr>
    </w:div>
    <w:div w:id="577248443">
      <w:bodyDiv w:val="1"/>
      <w:marLeft w:val="0"/>
      <w:marRight w:val="0"/>
      <w:marTop w:val="0"/>
      <w:marBottom w:val="0"/>
      <w:divBdr>
        <w:top w:val="none" w:sz="0" w:space="0" w:color="auto"/>
        <w:left w:val="none" w:sz="0" w:space="0" w:color="auto"/>
        <w:bottom w:val="none" w:sz="0" w:space="0" w:color="auto"/>
        <w:right w:val="none" w:sz="0" w:space="0" w:color="auto"/>
      </w:divBdr>
    </w:div>
    <w:div w:id="1169708998">
      <w:bodyDiv w:val="1"/>
      <w:marLeft w:val="0"/>
      <w:marRight w:val="0"/>
      <w:marTop w:val="0"/>
      <w:marBottom w:val="0"/>
      <w:divBdr>
        <w:top w:val="none" w:sz="0" w:space="0" w:color="auto"/>
        <w:left w:val="none" w:sz="0" w:space="0" w:color="auto"/>
        <w:bottom w:val="none" w:sz="0" w:space="0" w:color="auto"/>
        <w:right w:val="none" w:sz="0" w:space="0" w:color="auto"/>
      </w:divBdr>
    </w:div>
    <w:div w:id="1727413309">
      <w:bodyDiv w:val="1"/>
      <w:marLeft w:val="0"/>
      <w:marRight w:val="0"/>
      <w:marTop w:val="0"/>
      <w:marBottom w:val="0"/>
      <w:divBdr>
        <w:top w:val="none" w:sz="0" w:space="0" w:color="auto"/>
        <w:left w:val="none" w:sz="0" w:space="0" w:color="auto"/>
        <w:bottom w:val="none" w:sz="0" w:space="0" w:color="auto"/>
        <w:right w:val="none" w:sz="0" w:space="0" w:color="auto"/>
      </w:divBdr>
      <w:divsChild>
        <w:div w:id="940796243">
          <w:marLeft w:val="360"/>
          <w:marRight w:val="0"/>
          <w:marTop w:val="200"/>
          <w:marBottom w:val="0"/>
          <w:divBdr>
            <w:top w:val="none" w:sz="0" w:space="0" w:color="auto"/>
            <w:left w:val="none" w:sz="0" w:space="0" w:color="auto"/>
            <w:bottom w:val="none" w:sz="0" w:space="0" w:color="auto"/>
            <w:right w:val="none" w:sz="0" w:space="0" w:color="auto"/>
          </w:divBdr>
        </w:div>
        <w:div w:id="1035617549">
          <w:marLeft w:val="360"/>
          <w:marRight w:val="0"/>
          <w:marTop w:val="200"/>
          <w:marBottom w:val="0"/>
          <w:divBdr>
            <w:top w:val="none" w:sz="0" w:space="0" w:color="auto"/>
            <w:left w:val="none" w:sz="0" w:space="0" w:color="auto"/>
            <w:bottom w:val="none" w:sz="0" w:space="0" w:color="auto"/>
            <w:right w:val="none" w:sz="0" w:space="0" w:color="auto"/>
          </w:divBdr>
        </w:div>
        <w:div w:id="1177042042">
          <w:marLeft w:val="1080"/>
          <w:marRight w:val="0"/>
          <w:marTop w:val="100"/>
          <w:marBottom w:val="0"/>
          <w:divBdr>
            <w:top w:val="none" w:sz="0" w:space="0" w:color="auto"/>
            <w:left w:val="none" w:sz="0" w:space="0" w:color="auto"/>
            <w:bottom w:val="none" w:sz="0" w:space="0" w:color="auto"/>
            <w:right w:val="none" w:sz="0" w:space="0" w:color="auto"/>
          </w:divBdr>
        </w:div>
        <w:div w:id="1667173868">
          <w:marLeft w:val="360"/>
          <w:marRight w:val="0"/>
          <w:marTop w:val="200"/>
          <w:marBottom w:val="0"/>
          <w:divBdr>
            <w:top w:val="none" w:sz="0" w:space="0" w:color="auto"/>
            <w:left w:val="none" w:sz="0" w:space="0" w:color="auto"/>
            <w:bottom w:val="none" w:sz="0" w:space="0" w:color="auto"/>
            <w:right w:val="none" w:sz="0" w:space="0" w:color="auto"/>
          </w:divBdr>
        </w:div>
        <w:div w:id="70544277">
          <w:marLeft w:val="1080"/>
          <w:marRight w:val="0"/>
          <w:marTop w:val="100"/>
          <w:marBottom w:val="0"/>
          <w:divBdr>
            <w:top w:val="none" w:sz="0" w:space="0" w:color="auto"/>
            <w:left w:val="none" w:sz="0" w:space="0" w:color="auto"/>
            <w:bottom w:val="none" w:sz="0" w:space="0" w:color="auto"/>
            <w:right w:val="none" w:sz="0" w:space="0" w:color="auto"/>
          </w:divBdr>
        </w:div>
      </w:divsChild>
    </w:div>
    <w:div w:id="19763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Abouzelam, Kinan Omar</dc:creator>
  <cp:keywords/>
  <dc:description/>
  <cp:lastModifiedBy>Tollison, Riley James</cp:lastModifiedBy>
  <cp:revision>2</cp:revision>
  <dcterms:created xsi:type="dcterms:W3CDTF">2020-11-04T14:35:00Z</dcterms:created>
  <dcterms:modified xsi:type="dcterms:W3CDTF">2020-11-04T14:35:00Z</dcterms:modified>
</cp:coreProperties>
</file>