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9181B" w14:textId="3CD1D1E6" w:rsidR="00713D5A" w:rsidRPr="00713D5A" w:rsidRDefault="00EE0715" w:rsidP="00713D5A">
      <w:pPr>
        <w:pStyle w:val="NoSpacing"/>
        <w:spacing w:line="360" w:lineRule="auto"/>
        <w:jc w:val="center"/>
        <w:rPr>
          <w:b/>
        </w:rPr>
      </w:pPr>
      <w:bookmarkStart w:id="0" w:name="_GoBack"/>
      <w:bookmarkEnd w:id="0"/>
      <w:r>
        <w:rPr>
          <w:b/>
        </w:rPr>
        <w:t>Kimberly-Clark Corporation</w:t>
      </w:r>
    </w:p>
    <w:p w14:paraId="2316E06E" w14:textId="511C2BDB" w:rsidR="00DA53C2" w:rsidRDefault="00EE0715" w:rsidP="00713D5A">
      <w:pPr>
        <w:pStyle w:val="NoSpacing"/>
        <w:spacing w:line="360" w:lineRule="auto"/>
        <w:jc w:val="center"/>
      </w:pPr>
      <w:r>
        <w:t>April 18</w:t>
      </w:r>
      <w:r w:rsidR="00DA53C2">
        <w:t>, 2018</w:t>
      </w:r>
    </w:p>
    <w:p w14:paraId="7111BDCE" w14:textId="0EF0072D" w:rsidR="00713D5A" w:rsidRPr="008D388E" w:rsidRDefault="00713D5A" w:rsidP="00713D5A">
      <w:pPr>
        <w:pStyle w:val="NoSpacing"/>
        <w:spacing w:line="360" w:lineRule="auto"/>
        <w:rPr>
          <w:u w:val="single"/>
        </w:rPr>
      </w:pPr>
      <w:r w:rsidRPr="008D388E">
        <w:rPr>
          <w:u w:val="single"/>
        </w:rPr>
        <w:t xml:space="preserve">Caiti Setterman | Griffin Egan </w:t>
      </w:r>
      <w:r w:rsidRPr="008D388E">
        <w:rPr>
          <w:u w:val="single"/>
        </w:rPr>
        <w:tab/>
      </w:r>
      <w:r w:rsidRPr="008D388E">
        <w:rPr>
          <w:u w:val="single"/>
        </w:rPr>
        <w:tab/>
      </w:r>
      <w:r w:rsidRPr="008D388E">
        <w:rPr>
          <w:u w:val="single"/>
        </w:rPr>
        <w:tab/>
      </w:r>
      <w:r w:rsidRPr="008D388E">
        <w:rPr>
          <w:u w:val="single"/>
        </w:rPr>
        <w:tab/>
      </w:r>
      <w:r w:rsidRPr="008D388E">
        <w:rPr>
          <w:u w:val="single"/>
        </w:rPr>
        <w:tab/>
      </w:r>
      <w:r w:rsidRPr="008D388E">
        <w:rPr>
          <w:u w:val="single"/>
        </w:rPr>
        <w:tab/>
        <w:t xml:space="preserve">             Consumer Staples Sector</w:t>
      </w:r>
    </w:p>
    <w:p w14:paraId="7BA9A9CD" w14:textId="3F94395A" w:rsidR="00D271A2" w:rsidRDefault="00D271A2" w:rsidP="000B3375">
      <w:pPr>
        <w:pStyle w:val="Heading1"/>
      </w:pPr>
      <w:r w:rsidRPr="000B3375">
        <w:t>Introduction</w:t>
      </w:r>
    </w:p>
    <w:p w14:paraId="6ABD967D" w14:textId="48A16354" w:rsidR="006B4094" w:rsidRPr="00441AE7" w:rsidRDefault="00A342DA" w:rsidP="009F3477">
      <w:pPr>
        <w:spacing w:line="360" w:lineRule="auto"/>
        <w:rPr>
          <w:rFonts w:ascii="Times New Roman" w:eastAsia="Times New Roman" w:hAnsi="Times New Roman" w:cs="Times New Roman"/>
          <w:sz w:val="24"/>
          <w:szCs w:val="24"/>
        </w:rPr>
      </w:pPr>
      <w:r>
        <w:t>Kimberly-Clark Co</w:t>
      </w:r>
      <w:r w:rsidR="00E960FB">
        <w:t>rporation</w:t>
      </w:r>
      <w:r>
        <w:t xml:space="preserve"> </w:t>
      </w:r>
      <w:r>
        <w:rPr>
          <w:rFonts w:eastAsia="Times New Roman" w:cs="Times New Roman"/>
          <w:color w:val="000000"/>
        </w:rPr>
        <w:t>(NYSE: KMB | price: $</w:t>
      </w:r>
      <w:r w:rsidR="009F3477">
        <w:rPr>
          <w:rFonts w:eastAsia="Times New Roman" w:cs="Times New Roman"/>
          <w:color w:val="000000"/>
        </w:rPr>
        <w:t>106.54</w:t>
      </w:r>
      <w:r w:rsidRPr="00A342DA">
        <w:rPr>
          <w:rFonts w:eastAsia="Times New Roman" w:cs="Times New Roman"/>
          <w:color w:val="000000"/>
        </w:rPr>
        <w:t>)</w:t>
      </w:r>
      <w:r w:rsidR="004604C7">
        <w:rPr>
          <w:rFonts w:eastAsia="Times New Roman" w:cs="Times New Roman"/>
          <w:color w:val="000000"/>
        </w:rPr>
        <w:t xml:space="preserve"> </w:t>
      </w:r>
      <w:r w:rsidR="0090657B">
        <w:rPr>
          <w:rFonts w:eastAsia="Times New Roman" w:cs="Times New Roman"/>
          <w:color w:val="000000"/>
        </w:rPr>
        <w:t>is a</w:t>
      </w:r>
      <w:r w:rsidR="0090657B" w:rsidRPr="0090657B">
        <w:rPr>
          <w:rFonts w:eastAsia="Times New Roman" w:cs="Times New Roman"/>
          <w:color w:val="000000"/>
        </w:rPr>
        <w:t xml:space="preserve"> </w:t>
      </w:r>
      <w:r w:rsidR="00AC1875">
        <w:rPr>
          <w:rFonts w:eastAsia="Times New Roman" w:cs="Times New Roman"/>
          <w:color w:val="000000"/>
        </w:rPr>
        <w:t xml:space="preserve">Fortune 500 </w:t>
      </w:r>
      <w:r w:rsidR="0090657B" w:rsidRPr="0090657B">
        <w:rPr>
          <w:rFonts w:eastAsia="Times New Roman" w:cs="Arial"/>
          <w:color w:val="222222"/>
          <w:shd w:val="clear" w:color="auto" w:fill="FFFFFF"/>
        </w:rPr>
        <w:t xml:space="preserve">multinational corporation specializing in </w:t>
      </w:r>
      <w:r w:rsidR="00723A86">
        <w:rPr>
          <w:rFonts w:eastAsia="Times New Roman" w:cs="Arial"/>
          <w:color w:val="222222"/>
          <w:shd w:val="clear" w:color="auto" w:fill="FFFFFF"/>
        </w:rPr>
        <w:t xml:space="preserve">the manufacturing and selling of </w:t>
      </w:r>
      <w:r w:rsidR="0090657B" w:rsidRPr="0090657B">
        <w:rPr>
          <w:rFonts w:eastAsia="Times New Roman" w:cs="Arial"/>
          <w:color w:val="222222"/>
          <w:shd w:val="clear" w:color="auto" w:fill="FFFFFF"/>
        </w:rPr>
        <w:t>personal care products</w:t>
      </w:r>
      <w:r w:rsidR="0090657B">
        <w:rPr>
          <w:rFonts w:eastAsia="Times New Roman" w:cs="Arial"/>
          <w:color w:val="222222"/>
          <w:shd w:val="clear" w:color="auto" w:fill="FFFFFF"/>
        </w:rPr>
        <w:t>.</w:t>
      </w:r>
      <w:r w:rsidR="00AC1875">
        <w:rPr>
          <w:rFonts w:eastAsia="Times New Roman" w:cs="Arial"/>
          <w:color w:val="222222"/>
          <w:shd w:val="clear" w:color="auto" w:fill="FFFFFF"/>
        </w:rPr>
        <w:t xml:space="preserve"> </w:t>
      </w:r>
      <w:r w:rsidR="00723A86">
        <w:rPr>
          <w:rFonts w:eastAsia="Times New Roman" w:cs="Arial"/>
          <w:color w:val="222222"/>
          <w:shd w:val="clear" w:color="auto" w:fill="FFFFFF"/>
        </w:rPr>
        <w:t xml:space="preserve">KMB operates in three distinct operational segments: Personal Care, Consumer Tissue, and K-C Professional. Based out of Irving, Texas, KMB has been operating for over 140 years and has expanded into 35 different countries world-wide. </w:t>
      </w:r>
      <w:r w:rsidR="00F033C0">
        <w:rPr>
          <w:rFonts w:eastAsia="Times New Roman" w:cs="Arial"/>
          <w:color w:val="222222"/>
          <w:shd w:val="clear" w:color="auto" w:fill="FFFFFF"/>
        </w:rPr>
        <w:t xml:space="preserve">KMB has </w:t>
      </w:r>
      <w:r w:rsidR="00AC1875">
        <w:rPr>
          <w:rFonts w:eastAsia="Times New Roman" w:cs="Arial"/>
          <w:color w:val="222222"/>
          <w:shd w:val="clear" w:color="auto" w:fill="FFFFFF"/>
        </w:rPr>
        <w:t xml:space="preserve">a vast number of products and product lines, </w:t>
      </w:r>
      <w:r w:rsidR="00F033C0">
        <w:rPr>
          <w:rFonts w:eastAsia="Times New Roman" w:cs="Arial"/>
          <w:color w:val="222222"/>
          <w:shd w:val="clear" w:color="auto" w:fill="FFFFFF"/>
        </w:rPr>
        <w:t xml:space="preserve">but </w:t>
      </w:r>
      <w:r w:rsidR="00AC1875">
        <w:rPr>
          <w:rFonts w:eastAsia="Times New Roman" w:cs="Arial"/>
          <w:color w:val="222222"/>
          <w:shd w:val="clear" w:color="auto" w:fill="FFFFFF"/>
        </w:rPr>
        <w:t>the most popular and top performing products include Kleenex facial tissues, Kotex</w:t>
      </w:r>
      <w:r w:rsidR="00F033C0">
        <w:rPr>
          <w:rFonts w:eastAsia="Times New Roman" w:cs="Arial"/>
          <w:color w:val="222222"/>
          <w:shd w:val="clear" w:color="auto" w:fill="FFFFFF"/>
        </w:rPr>
        <w:t xml:space="preserve"> </w:t>
      </w:r>
      <w:r w:rsidR="00AC1875">
        <w:rPr>
          <w:rFonts w:eastAsia="Times New Roman" w:cs="Arial"/>
          <w:color w:val="222222"/>
          <w:shd w:val="clear" w:color="auto" w:fill="FFFFFF"/>
        </w:rPr>
        <w:t xml:space="preserve">cleaning and hygiene products, as well as Huggies disposable diapers. With over one-quarter of the population </w:t>
      </w:r>
      <w:r w:rsidR="00F033C0">
        <w:rPr>
          <w:rFonts w:eastAsia="Times New Roman" w:cs="Arial"/>
          <w:color w:val="222222"/>
          <w:shd w:val="clear" w:color="auto" w:fill="FFFFFF"/>
        </w:rPr>
        <w:t>purchasing</w:t>
      </w:r>
      <w:r w:rsidR="00AC1875">
        <w:rPr>
          <w:rFonts w:eastAsia="Times New Roman" w:cs="Arial"/>
          <w:color w:val="222222"/>
          <w:shd w:val="clear" w:color="auto" w:fill="FFFFFF"/>
        </w:rPr>
        <w:t xml:space="preserve"> products daily, Kimberly Clark </w:t>
      </w:r>
      <w:r w:rsidR="00F033C0">
        <w:rPr>
          <w:rFonts w:eastAsia="Times New Roman" w:cs="Arial"/>
          <w:color w:val="222222"/>
          <w:shd w:val="clear" w:color="auto" w:fill="FFFFFF"/>
        </w:rPr>
        <w:t>generated</w:t>
      </w:r>
      <w:r w:rsidR="00441AE7">
        <w:rPr>
          <w:rFonts w:eastAsia="Times New Roman" w:cs="Arial"/>
          <w:color w:val="222222"/>
          <w:shd w:val="clear" w:color="auto" w:fill="FFFFFF"/>
        </w:rPr>
        <w:t xml:space="preserve"> $18.26 billion in revenue during 2017</w:t>
      </w:r>
      <w:r w:rsidR="00F033C0">
        <w:rPr>
          <w:rFonts w:eastAsia="Times New Roman" w:cs="Arial"/>
          <w:color w:val="222222"/>
          <w:shd w:val="clear" w:color="auto" w:fill="FFFFFF"/>
        </w:rPr>
        <w:t>,</w:t>
      </w:r>
      <w:r w:rsidR="00441AE7">
        <w:rPr>
          <w:rFonts w:eastAsia="Times New Roman" w:cs="Arial"/>
          <w:color w:val="222222"/>
          <w:shd w:val="clear" w:color="auto" w:fill="FFFFFF"/>
        </w:rPr>
        <w:t xml:space="preserve"> and is on track to continue their successful operations and maintain their strong market position for the coming years.</w:t>
      </w:r>
    </w:p>
    <w:p w14:paraId="66DA5B7F" w14:textId="740C68B4" w:rsidR="00CC3740" w:rsidRDefault="00CC3740" w:rsidP="000B3375">
      <w:pPr>
        <w:pStyle w:val="Heading1"/>
      </w:pPr>
      <w:r w:rsidRPr="000B3375">
        <w:t>Recommendation</w:t>
      </w:r>
    </w:p>
    <w:p w14:paraId="50108F3C" w14:textId="4D3CB83A" w:rsidR="00E960FB" w:rsidRDefault="00E960FB" w:rsidP="009F3477">
      <w:pPr>
        <w:spacing w:line="360" w:lineRule="auto"/>
      </w:pPr>
      <w:r>
        <w:t xml:space="preserve">We issue a buy recommendation for Kimberly-Clark Corporation based on a 1-year target price of $131.18. This intrinsic value represents a 23.14% upside potential from the April 18, 2018 closing price of $106.54. </w:t>
      </w:r>
      <w:r w:rsidR="00705C1C">
        <w:t xml:space="preserve">Throughout the last 5 years, KMB has experienced slightly declining revenue streams. </w:t>
      </w:r>
      <w:r w:rsidR="00BE046A">
        <w:t xml:space="preserve">It is important to note that industry peers have </w:t>
      </w:r>
      <w:r w:rsidR="00C7057B">
        <w:t xml:space="preserve">also </w:t>
      </w:r>
      <w:r w:rsidR="00BE046A">
        <w:t>been affected by the weak selling environment. Because of this</w:t>
      </w:r>
      <w:r w:rsidR="00C7057B">
        <w:t xml:space="preserve"> consistent decline in revenues</w:t>
      </w:r>
      <w:r w:rsidR="00BE046A">
        <w:t xml:space="preserve">, KMB is taking steps towards developing a new </w:t>
      </w:r>
      <w:r w:rsidR="00C7057B">
        <w:t xml:space="preserve">business </w:t>
      </w:r>
      <w:r w:rsidR="00BE046A">
        <w:t xml:space="preserve">strategy </w:t>
      </w:r>
      <w:proofErr w:type="gramStart"/>
      <w:r w:rsidR="00BE046A">
        <w:t>to</w:t>
      </w:r>
      <w:proofErr w:type="gramEnd"/>
      <w:r w:rsidR="00BE046A">
        <w:t xml:space="preserve"> aid in growth and increased market share. </w:t>
      </w:r>
      <w:r w:rsidR="00C7057B">
        <w:t>A main portion</w:t>
      </w:r>
      <w:r w:rsidR="00BE046A">
        <w:t xml:space="preserve"> of the company’s new strategy involves </w:t>
      </w:r>
      <w:r w:rsidR="00C7057B">
        <w:t xml:space="preserve">increased cost cutting efforts. KMB has identified a variety of ways to enhance the company’s productivity including expansion into </w:t>
      </w:r>
      <w:r w:rsidR="00655E03">
        <w:t>emerging</w:t>
      </w:r>
      <w:r w:rsidR="00C7057B">
        <w:t xml:space="preserve"> markets and the cutting out of underperforming brands. </w:t>
      </w:r>
      <w:r w:rsidR="00BE046A">
        <w:t xml:space="preserve">Specific details regarding this new strategy will be made public on April 23, 2018 during the 2018 Q1 Earnings Release. </w:t>
      </w:r>
    </w:p>
    <w:p w14:paraId="088A6012" w14:textId="6B5EDFAC" w:rsidR="00D271A2" w:rsidRDefault="00D271A2" w:rsidP="000B3375">
      <w:pPr>
        <w:pStyle w:val="Heading1"/>
      </w:pPr>
      <w:r w:rsidRPr="000B3375">
        <w:t>Investment Thesis</w:t>
      </w:r>
    </w:p>
    <w:p w14:paraId="2CB03937" w14:textId="622A8997" w:rsidR="00460C4C" w:rsidRPr="00460C4C" w:rsidRDefault="00460C4C" w:rsidP="00E71BBF">
      <w:pPr>
        <w:spacing w:line="360" w:lineRule="auto"/>
      </w:pPr>
      <w:r>
        <w:rPr>
          <w:b/>
          <w:i/>
        </w:rPr>
        <w:t xml:space="preserve">Product Innovation: </w:t>
      </w:r>
      <w:r>
        <w:t>Kimberly Clark’s products target a variety of consumers from babies to seniors. A first-mover business strategy has been the company’s focus</w:t>
      </w:r>
      <w:r w:rsidR="005047F5">
        <w:t>,</w:t>
      </w:r>
      <w:r>
        <w:t xml:space="preserve"> as they pride themselves in creating essentials for a better life for people everywhere. By combining creativity </w:t>
      </w:r>
      <w:r w:rsidR="005047F5">
        <w:t xml:space="preserve">with technology, KMB has been able to create innovative products for consumers around the world. </w:t>
      </w:r>
    </w:p>
    <w:p w14:paraId="2E733BDB" w14:textId="67D8BE68" w:rsidR="00460C4C" w:rsidRDefault="00C7057B" w:rsidP="00E71BBF">
      <w:pPr>
        <w:tabs>
          <w:tab w:val="left" w:pos="2400"/>
        </w:tabs>
        <w:spacing w:line="360" w:lineRule="auto"/>
        <w:rPr>
          <w:b/>
          <w:i/>
        </w:rPr>
      </w:pPr>
      <w:r w:rsidRPr="00C7057B">
        <w:rPr>
          <w:b/>
          <w:i/>
        </w:rPr>
        <w:lastRenderedPageBreak/>
        <w:t>Cost Cutting Initiative</w:t>
      </w:r>
      <w:r w:rsidR="00460C4C">
        <w:t xml:space="preserve">: Trends of declining revenues have encouraged KMB to consider a </w:t>
      </w:r>
      <w:r w:rsidR="005047F5">
        <w:t xml:space="preserve">serious change in their cost-cutting efforts. Currently, the company’s standard cost cutting program is to decrease annual expenses by $450 million. Over the next three years, KMB plans to double their efforts, adding an additional $500 million to their standard program. It is projected that this restructuring will not only show success in decreasing the company’s annual expenses, but also power earnings growth and adjusted EPS growth in the years to come. Additionally, KMB plans to use saved costs to increase its dividend payout 3%. </w:t>
      </w:r>
    </w:p>
    <w:p w14:paraId="4344A1DD" w14:textId="01628062" w:rsidR="00C7057B" w:rsidRDefault="005047F5" w:rsidP="006542A3">
      <w:pPr>
        <w:tabs>
          <w:tab w:val="left" w:pos="2400"/>
        </w:tabs>
        <w:spacing w:line="360" w:lineRule="auto"/>
      </w:pPr>
      <w:r w:rsidRPr="005047F5">
        <w:rPr>
          <w:b/>
          <w:i/>
        </w:rPr>
        <w:t xml:space="preserve">Expansion </w:t>
      </w:r>
      <w:proofErr w:type="gramStart"/>
      <w:r w:rsidRPr="005047F5">
        <w:rPr>
          <w:b/>
          <w:i/>
        </w:rPr>
        <w:t>Into</w:t>
      </w:r>
      <w:proofErr w:type="gramEnd"/>
      <w:r w:rsidRPr="005047F5">
        <w:rPr>
          <w:b/>
          <w:i/>
        </w:rPr>
        <w:t xml:space="preserve"> </w:t>
      </w:r>
      <w:r w:rsidR="00E71BBF">
        <w:rPr>
          <w:b/>
          <w:i/>
        </w:rPr>
        <w:t>Emerging</w:t>
      </w:r>
      <w:r w:rsidRPr="005047F5">
        <w:rPr>
          <w:b/>
          <w:i/>
        </w:rPr>
        <w:t xml:space="preserve"> Markets:</w:t>
      </w:r>
      <w:r>
        <w:t xml:space="preserve"> With a majority of its current focus in developed markets, such as the United States, KMB’s revenues have been largely affected by recent price cuts. Therefore, </w:t>
      </w:r>
      <w:r w:rsidR="006542A3">
        <w:t>the company has</w:t>
      </w:r>
      <w:r>
        <w:t xml:space="preserve"> identified another </w:t>
      </w:r>
      <w:r w:rsidR="006542A3">
        <w:t>opportunity: expanding</w:t>
      </w:r>
      <w:r w:rsidR="00E71BBF">
        <w:t xml:space="preserve"> into emerging markets, such as China, while simultaneously cutting out underperforming brands within their existing product lines. </w:t>
      </w:r>
    </w:p>
    <w:p w14:paraId="2992449C" w14:textId="4271F83D" w:rsidR="00D271A2" w:rsidRDefault="00D271A2" w:rsidP="000B3375">
      <w:pPr>
        <w:pStyle w:val="Heading1"/>
      </w:pPr>
      <w:r w:rsidRPr="000B3375">
        <w:t>Valuation</w:t>
      </w:r>
    </w:p>
    <w:p w14:paraId="796D1DB7" w14:textId="24D60F10" w:rsidR="00E960FB" w:rsidRPr="00E960FB" w:rsidRDefault="00E960FB" w:rsidP="00705C1C">
      <w:pPr>
        <w:spacing w:line="360" w:lineRule="auto"/>
      </w:pPr>
      <w:r>
        <w:t xml:space="preserve">To reach an intrinsic value for KMB, two valuation methods were used. The first method used for valuing the company was a five-year DCF model. Using a terminal growth rate </w:t>
      </w:r>
      <w:r w:rsidR="009F3477">
        <w:t xml:space="preserve">of 2% and a WACC of 7.28%, a price of $120.84 was derived. A sensitivity analysis of ±.25 on the terminal growth rate and WACC resulted in an intrinsic value range from $119.63 - $122.17. The second valuation method used was a P/E multiples valuation. Peers were selected through the analysis of annual revenues, market cap, P/E ratios, and inventory turnover ratios. A chart of the peers used in this relative valuation can be found in </w:t>
      </w:r>
      <w:r w:rsidR="009F3477">
        <w:rPr>
          <w:i/>
        </w:rPr>
        <w:t>Table 1</w:t>
      </w:r>
      <w:r w:rsidR="009F3477">
        <w:t>. Using KMB</w:t>
      </w:r>
      <w:r w:rsidR="00655E03">
        <w:t>’s 2018</w:t>
      </w:r>
      <w:r w:rsidR="009F3477">
        <w:t xml:space="preserve"> diluted EPS of $6.40 and a peer average P/E </w:t>
      </w:r>
      <w:r w:rsidR="00655E03">
        <w:t xml:space="preserve">ratio </w:t>
      </w:r>
      <w:r w:rsidR="009F3477">
        <w:t>of 22.11</w:t>
      </w:r>
      <w:r w:rsidR="00655E03">
        <w:t>x</w:t>
      </w:r>
      <w:r w:rsidR="009F3477">
        <w:t xml:space="preserve">, a relative valuation of $141.53 was derived. Weights for the models were split 50/50 and resulted in a 1-year target price of $131.18, representing a 23.14% upside potential. </w:t>
      </w:r>
    </w:p>
    <w:p w14:paraId="5C5EF88C" w14:textId="1DF6F824" w:rsidR="00D271A2" w:rsidRDefault="00D271A2" w:rsidP="000B3375">
      <w:pPr>
        <w:pStyle w:val="Heading1"/>
      </w:pPr>
      <w:r w:rsidRPr="000B3375">
        <w:t>Risks</w:t>
      </w:r>
      <w:r w:rsidR="00AC49A6" w:rsidRPr="000B3375">
        <w:t xml:space="preserve"> </w:t>
      </w:r>
    </w:p>
    <w:p w14:paraId="6282F3F4" w14:textId="77777777" w:rsidR="00705C1C" w:rsidRDefault="00D0120A" w:rsidP="009F3477">
      <w:pPr>
        <w:spacing w:line="360" w:lineRule="auto"/>
      </w:pPr>
      <w:r>
        <w:t>Within the househo</w:t>
      </w:r>
      <w:r w:rsidR="00C85414">
        <w:t>ld products industry, we see t</w:t>
      </w:r>
      <w:r w:rsidR="008675D0">
        <w:t>wo</w:t>
      </w:r>
      <w:r w:rsidR="004604C7">
        <w:t xml:space="preserve"> </w:t>
      </w:r>
      <w:r>
        <w:t xml:space="preserve">main components that could </w:t>
      </w:r>
      <w:r w:rsidR="00F033C0">
        <w:t>serve as a risk for Kimberly-Clark: high domestic competition and the need for strong and unique innovation. KMB</w:t>
      </w:r>
      <w:r>
        <w:t xml:space="preserve"> is currently pursuing several different avenues </w:t>
      </w:r>
      <w:r w:rsidR="00F033C0">
        <w:t>to mitigate the ef</w:t>
      </w:r>
      <w:r w:rsidR="00705C1C">
        <w:t>fects of these potential risks.</w:t>
      </w:r>
    </w:p>
    <w:p w14:paraId="56BEAE48" w14:textId="5D5ECB79" w:rsidR="00D0120A" w:rsidRDefault="00D0120A" w:rsidP="009F3477">
      <w:pPr>
        <w:spacing w:line="360" w:lineRule="auto"/>
      </w:pPr>
      <w:r>
        <w:rPr>
          <w:b/>
          <w:i/>
        </w:rPr>
        <w:t>High Domestic Competition:</w:t>
      </w:r>
      <w:r>
        <w:t xml:space="preserve"> </w:t>
      </w:r>
      <w:r w:rsidR="00871F0F">
        <w:t xml:space="preserve">With </w:t>
      </w:r>
      <w:r w:rsidR="000477E3">
        <w:t xml:space="preserve">many </w:t>
      </w:r>
      <w:r w:rsidR="007576E6">
        <w:t>well-established</w:t>
      </w:r>
      <w:r w:rsidR="000477E3">
        <w:t xml:space="preserve"> companies</w:t>
      </w:r>
      <w:r w:rsidR="00871F0F">
        <w:t xml:space="preserve"> in the Household Products </w:t>
      </w:r>
      <w:r w:rsidR="000477E3">
        <w:t>sector</w:t>
      </w:r>
      <w:r w:rsidR="00A85D21">
        <w:t xml:space="preserve">, </w:t>
      </w:r>
      <w:r w:rsidR="00871F0F">
        <w:t xml:space="preserve">such as </w:t>
      </w:r>
      <w:r w:rsidR="000477E3">
        <w:t>Procter</w:t>
      </w:r>
      <w:r w:rsidR="00871F0F">
        <w:t xml:space="preserve"> and Gamble, </w:t>
      </w:r>
      <w:r w:rsidR="000477E3">
        <w:t xml:space="preserve">Unilever, </w:t>
      </w:r>
      <w:r w:rsidR="00A85D21">
        <w:t xml:space="preserve">and </w:t>
      </w:r>
      <w:r w:rsidR="000477E3">
        <w:t xml:space="preserve">Colgate, competition for the U.S. domestic market is incredibly high. </w:t>
      </w:r>
      <w:r w:rsidR="00A85D21">
        <w:t xml:space="preserve">Because of </w:t>
      </w:r>
      <w:r w:rsidR="000477E3">
        <w:t>this, companies in this industry must focus on creating brand loyalty as</w:t>
      </w:r>
      <w:r w:rsidR="006542A3">
        <w:t xml:space="preserve"> well as new products to create</w:t>
      </w:r>
      <w:r w:rsidR="000477E3">
        <w:t xml:space="preserve"> new growth opportunities in order to gain larger percentages of the domestic </w:t>
      </w:r>
      <w:r w:rsidR="000477E3">
        <w:lastRenderedPageBreak/>
        <w:t>market and beat out their competitors.</w:t>
      </w:r>
      <w:r w:rsidR="00A85D21">
        <w:t xml:space="preserve"> KMB is well aware of this potential risk and is pursuing growth initiatives aimed at combatting this risk. </w:t>
      </w:r>
    </w:p>
    <w:p w14:paraId="3667E00E" w14:textId="2FE8C50D" w:rsidR="000477E3" w:rsidRDefault="000477E3" w:rsidP="009F3477">
      <w:pPr>
        <w:spacing w:line="360" w:lineRule="auto"/>
      </w:pPr>
      <w:r>
        <w:rPr>
          <w:b/>
          <w:i/>
        </w:rPr>
        <w:t xml:space="preserve">Strong and Unique Innovation: </w:t>
      </w:r>
      <w:r>
        <w:t xml:space="preserve">Stemming from the many key players, much of the market has already been capitalized on which creates a need for new methods of innovation </w:t>
      </w:r>
      <w:r w:rsidR="007576E6">
        <w:t>for</w:t>
      </w:r>
      <w:r>
        <w:t xml:space="preserve"> a company in this industry to grow and thrive.</w:t>
      </w:r>
      <w:r w:rsidR="00E12109">
        <w:t xml:space="preserve"> The </w:t>
      </w:r>
      <w:r w:rsidR="00A85D21">
        <w:t>main method for</w:t>
      </w:r>
      <w:r w:rsidR="00E12109">
        <w:t xml:space="preserve"> innovation that we identified, which will be vital going forward, </w:t>
      </w:r>
      <w:r w:rsidR="00A85D21">
        <w:t>is</w:t>
      </w:r>
      <w:r w:rsidR="00232CB4">
        <w:t xml:space="preserve"> </w:t>
      </w:r>
      <w:r w:rsidR="007576E6">
        <w:t xml:space="preserve">gearing operations and products toward millennials and online-channels. If </w:t>
      </w:r>
      <w:r w:rsidR="00A85D21">
        <w:t xml:space="preserve">current market leaders </w:t>
      </w:r>
      <w:r w:rsidR="00B524BF">
        <w:t>cannot get a</w:t>
      </w:r>
      <w:r w:rsidR="007576E6">
        <w:t>head on these types of innovation</w:t>
      </w:r>
      <w:r w:rsidR="00B524BF">
        <w:t>s</w:t>
      </w:r>
      <w:r w:rsidR="007576E6">
        <w:t xml:space="preserve"> and evolve their business, they may fall behind in relation to their competitors and the market.</w:t>
      </w:r>
    </w:p>
    <w:p w14:paraId="052C36A8" w14:textId="2F532B07" w:rsidR="00D85366" w:rsidRDefault="00D271A2" w:rsidP="001E1E31">
      <w:pPr>
        <w:pStyle w:val="Heading1"/>
      </w:pPr>
      <w:r w:rsidRPr="000B3375">
        <w:t>Management</w:t>
      </w:r>
    </w:p>
    <w:p w14:paraId="176751DF" w14:textId="19B6A75A" w:rsidR="006D3184" w:rsidRPr="006D3184" w:rsidRDefault="00053542" w:rsidP="009F3477">
      <w:pPr>
        <w:spacing w:line="360" w:lineRule="auto"/>
      </w:pPr>
      <w:r>
        <w:t>Thomas J. Falk</w:t>
      </w:r>
      <w:r w:rsidR="00A85D21">
        <w:t xml:space="preserve"> </w:t>
      </w:r>
      <w:r w:rsidR="00B524BF">
        <w:t>(59) currently serves as the Chairman and CEO for KMB</w:t>
      </w:r>
      <w:r>
        <w:t xml:space="preserve">. </w:t>
      </w:r>
      <w:r w:rsidR="00B524BF">
        <w:t xml:space="preserve">Mr. </w:t>
      </w:r>
      <w:r>
        <w:t>Falk</w:t>
      </w:r>
      <w:r w:rsidR="00B524BF">
        <w:t>, with 33 years tenure,</w:t>
      </w:r>
      <w:r>
        <w:t xml:space="preserve"> was elected Chief Executive Officer in 2002 and Chairman of the Board the following year in 2003. </w:t>
      </w:r>
      <w:r w:rsidR="00B524BF">
        <w:t xml:space="preserve">Prior to these elections, he served as the company’s President and Chief Operating Officer </w:t>
      </w:r>
      <w:r w:rsidR="00723A86">
        <w:t>for four years</w:t>
      </w:r>
      <w:r w:rsidR="00B524BF">
        <w:t xml:space="preserve">. Mr. Falk also </w:t>
      </w:r>
      <w:r w:rsidR="00E94399">
        <w:t xml:space="preserve">serves on the Board for a number of </w:t>
      </w:r>
      <w:r w:rsidR="00B524BF">
        <w:t xml:space="preserve">prestigious </w:t>
      </w:r>
      <w:r w:rsidR="00E94399">
        <w:t>organizations.</w:t>
      </w:r>
      <w:r w:rsidR="00F507F2">
        <w:t xml:space="preserve"> </w:t>
      </w:r>
      <w:r w:rsidR="00723A86">
        <w:t>Additionally, KMB has formed an</w:t>
      </w:r>
      <w:r w:rsidR="004604C7">
        <w:t xml:space="preserve"> extremely</w:t>
      </w:r>
      <w:r w:rsidR="00F507F2">
        <w:t xml:space="preserve"> experience team of </w:t>
      </w:r>
      <w:r w:rsidR="00B524BF">
        <w:t xml:space="preserve">regional </w:t>
      </w:r>
      <w:r w:rsidR="00723A86">
        <w:t xml:space="preserve">Presidents and </w:t>
      </w:r>
      <w:r w:rsidR="00F507F2">
        <w:t>Senior Vice Presidents</w:t>
      </w:r>
      <w:r w:rsidR="00723A86">
        <w:t xml:space="preserve"> to lead the company. </w:t>
      </w:r>
    </w:p>
    <w:p w14:paraId="3566E96C" w14:textId="4BDABF47" w:rsidR="00710BB3" w:rsidRDefault="00D271A2" w:rsidP="00710BB3">
      <w:pPr>
        <w:pStyle w:val="Heading1"/>
      </w:pPr>
      <w:r w:rsidRPr="000B3375">
        <w:t>Stock Chart of Past Year Performance</w:t>
      </w:r>
    </w:p>
    <w:p w14:paraId="4815919A" w14:textId="0DEAAA99" w:rsidR="00710BB3" w:rsidRPr="00710BB3" w:rsidRDefault="00710BB3" w:rsidP="00710BB3">
      <w:pPr>
        <w:pStyle w:val="Caption"/>
        <w:keepNext/>
        <w:spacing w:after="0"/>
        <w:rPr>
          <w:b/>
          <w:color w:val="auto"/>
        </w:rPr>
      </w:pPr>
      <w:r w:rsidRPr="00710BB3">
        <w:rPr>
          <w:b/>
          <w:color w:val="auto"/>
        </w:rPr>
        <w:t xml:space="preserve">Figure </w:t>
      </w:r>
      <w:r w:rsidRPr="00710BB3">
        <w:rPr>
          <w:b/>
          <w:color w:val="auto"/>
        </w:rPr>
        <w:fldChar w:fldCharType="begin"/>
      </w:r>
      <w:r w:rsidRPr="00710BB3">
        <w:rPr>
          <w:b/>
          <w:color w:val="auto"/>
        </w:rPr>
        <w:instrText xml:space="preserve"> SEQ Figure \* ARABIC </w:instrText>
      </w:r>
      <w:r w:rsidRPr="00710BB3">
        <w:rPr>
          <w:b/>
          <w:color w:val="auto"/>
        </w:rPr>
        <w:fldChar w:fldCharType="separate"/>
      </w:r>
      <w:r w:rsidRPr="00710BB3">
        <w:rPr>
          <w:b/>
          <w:noProof/>
          <w:color w:val="auto"/>
        </w:rPr>
        <w:t>1</w:t>
      </w:r>
      <w:r w:rsidRPr="00710BB3">
        <w:rPr>
          <w:b/>
          <w:color w:val="auto"/>
        </w:rPr>
        <w:fldChar w:fldCharType="end"/>
      </w:r>
      <w:r w:rsidRPr="00710BB3">
        <w:rPr>
          <w:b/>
          <w:color w:val="auto"/>
        </w:rPr>
        <w:t>: KMB Stock Prices</w:t>
      </w:r>
    </w:p>
    <w:p w14:paraId="74D13095" w14:textId="21E8F1F1" w:rsidR="00710BB3" w:rsidRDefault="00710BB3" w:rsidP="00710BB3">
      <w:pPr>
        <w:keepNext/>
      </w:pPr>
      <w:r>
        <w:rPr>
          <w:noProof/>
        </w:rPr>
        <mc:AlternateContent>
          <mc:Choice Requires="wps">
            <w:drawing>
              <wp:anchor distT="0" distB="0" distL="114300" distR="114300" simplePos="0" relativeHeight="251659264" behindDoc="0" locked="0" layoutInCell="1" allowOverlap="1" wp14:anchorId="13C08325" wp14:editId="03BDA692">
                <wp:simplePos x="0" y="0"/>
                <wp:positionH relativeFrom="column">
                  <wp:posOffset>9525</wp:posOffset>
                </wp:positionH>
                <wp:positionV relativeFrom="paragraph">
                  <wp:posOffset>1487170</wp:posOffset>
                </wp:positionV>
                <wp:extent cx="5953125" cy="1809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5953125" cy="180975"/>
                        </a:xfrm>
                        <a:prstGeom prst="rect">
                          <a:avLst/>
                        </a:prstGeom>
                        <a:solidFill>
                          <a:schemeClr val="lt1"/>
                        </a:solidFill>
                        <a:ln w="6350">
                          <a:noFill/>
                        </a:ln>
                      </wps:spPr>
                      <wps:txbx>
                        <w:txbxContent>
                          <w:p w14:paraId="349A4AE5" w14:textId="004A6114" w:rsidR="00710BB3" w:rsidRPr="00710BB3" w:rsidRDefault="00710BB3" w:rsidP="00710BB3">
                            <w:pPr>
                              <w:jc w:val="center"/>
                              <w:rPr>
                                <w:sz w:val="12"/>
                                <w:szCs w:val="12"/>
                              </w:rPr>
                            </w:pPr>
                            <w:r w:rsidRPr="00710BB3">
                              <w:rPr>
                                <w:sz w:val="12"/>
                                <w:szCs w:val="12"/>
                              </w:rPr>
                              <w:t>Source: Bloomberg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3C08325" id="_x0000_t202" coordsize="21600,21600" o:spt="202" path="m,l,21600r21600,l21600,xe">
                <v:stroke joinstyle="miter"/>
                <v:path gradientshapeok="t" o:connecttype="rect"/>
              </v:shapetype>
              <v:shape id="Text Box 5" o:spid="_x0000_s1026" type="#_x0000_t202" style="position:absolute;margin-left:.75pt;margin-top:117.1pt;width:468.75pt;height:1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" fillcolor="white [3201]" stroked="f" strokeweight=".5pt">
                <v:textbox>
                  <w:txbxContent>
                    <w:p w14:paraId="349A4AE5" w14:textId="004A6114" w:rsidR="00710BB3" w:rsidRPr="00710BB3" w:rsidRDefault="00710BB3" w:rsidP="00710BB3">
                      <w:pPr>
                        <w:jc w:val="center"/>
                        <w:rPr>
                          <w:sz w:val="12"/>
                          <w:szCs w:val="12"/>
                        </w:rPr>
                      </w:pPr>
                      <w:r w:rsidRPr="00710BB3">
                        <w:rPr>
                          <w:sz w:val="12"/>
                          <w:szCs w:val="12"/>
                        </w:rPr>
                        <w:t>Source: Bloomberg</w:t>
                      </w:r>
                    </w:p>
                  </w:txbxContent>
                </v:textbox>
              </v:shape>
            </w:pict>
          </mc:Fallback>
        </mc:AlternateContent>
      </w:r>
      <w:r>
        <w:rPr>
          <w:noProof/>
        </w:rPr>
        <w:drawing>
          <wp:inline distT="0" distB="0" distL="0" distR="0" wp14:anchorId="01343872" wp14:editId="04A75DE0">
            <wp:extent cx="5943600" cy="1454150"/>
            <wp:effectExtent l="19050" t="19050" r="1905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MB stock chart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454150"/>
                    </a:xfrm>
                    <a:prstGeom prst="rect">
                      <a:avLst/>
                    </a:prstGeom>
                    <a:ln>
                      <a:solidFill>
                        <a:schemeClr val="tx1"/>
                      </a:solidFill>
                    </a:ln>
                  </pic:spPr>
                </pic:pic>
              </a:graphicData>
            </a:graphic>
          </wp:inline>
        </w:drawing>
      </w:r>
    </w:p>
    <w:p w14:paraId="21429E01" w14:textId="2B765B09" w:rsidR="001E1E31" w:rsidRDefault="00D271A2" w:rsidP="001E1E31">
      <w:pPr>
        <w:pStyle w:val="Heading1"/>
      </w:pPr>
      <w:r w:rsidRPr="000B3375">
        <w:t>Peer Analysis</w:t>
      </w:r>
    </w:p>
    <w:p w14:paraId="13B45619" w14:textId="20F17C52" w:rsidR="001E1E31" w:rsidRPr="001E1E31" w:rsidRDefault="001E1E31" w:rsidP="001E1E31">
      <w:pPr>
        <w:pStyle w:val="Caption"/>
        <w:keepNext/>
        <w:spacing w:after="0"/>
        <w:jc w:val="both"/>
        <w:rPr>
          <w:b/>
          <w:color w:val="auto"/>
        </w:rPr>
      </w:pPr>
      <w:r w:rsidRPr="001E1E31">
        <w:rPr>
          <w:b/>
          <w:color w:val="auto"/>
        </w:rPr>
        <w:t xml:space="preserve">Table </w:t>
      </w:r>
      <w:r w:rsidRPr="001E1E31">
        <w:rPr>
          <w:b/>
          <w:color w:val="auto"/>
        </w:rPr>
        <w:fldChar w:fldCharType="begin"/>
      </w:r>
      <w:r w:rsidRPr="001E1E31">
        <w:rPr>
          <w:b/>
          <w:color w:val="auto"/>
        </w:rPr>
        <w:instrText xml:space="preserve"> SEQ Table \* ARABIC </w:instrText>
      </w:r>
      <w:r w:rsidRPr="001E1E31">
        <w:rPr>
          <w:b/>
          <w:color w:val="auto"/>
        </w:rPr>
        <w:fldChar w:fldCharType="separate"/>
      </w:r>
      <w:r>
        <w:rPr>
          <w:b/>
          <w:noProof/>
          <w:color w:val="auto"/>
        </w:rPr>
        <w:t>1</w:t>
      </w:r>
      <w:r w:rsidRPr="001E1E31">
        <w:rPr>
          <w:b/>
          <w:color w:val="auto"/>
        </w:rPr>
        <w:fldChar w:fldCharType="end"/>
      </w:r>
      <w:r>
        <w:rPr>
          <w:b/>
          <w:color w:val="auto"/>
        </w:rPr>
        <w:t>:</w:t>
      </w:r>
      <w:r w:rsidRPr="001E1E31">
        <w:rPr>
          <w:b/>
          <w:color w:val="auto"/>
        </w:rPr>
        <w:t xml:space="preserve"> Valuation Peer Analysis</w:t>
      </w:r>
    </w:p>
    <w:p w14:paraId="68D4522A" w14:textId="53593B3E" w:rsidR="008D388E" w:rsidRDefault="001E1E31" w:rsidP="006E34CE">
      <w:pPr>
        <w:pStyle w:val="NoSpacing"/>
        <w:spacing w:line="360" w:lineRule="auto"/>
        <w:jc w:val="both"/>
        <w:rPr>
          <w:b/>
        </w:rPr>
      </w:pPr>
      <w:r w:rsidRPr="001E1E31">
        <w:rPr>
          <w:noProof/>
        </w:rPr>
        <w:drawing>
          <wp:inline distT="0" distB="0" distL="0" distR="0" wp14:anchorId="1F854654" wp14:editId="3DCAABC4">
            <wp:extent cx="5943600" cy="11698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169869"/>
                    </a:xfrm>
                    <a:prstGeom prst="rect">
                      <a:avLst/>
                    </a:prstGeom>
                    <a:noFill/>
                    <a:ln>
                      <a:noFill/>
                    </a:ln>
                  </pic:spPr>
                </pic:pic>
              </a:graphicData>
            </a:graphic>
          </wp:inline>
        </w:drawing>
      </w:r>
    </w:p>
    <w:p w14:paraId="2604D5F4" w14:textId="122C0057" w:rsidR="001E1E31" w:rsidRDefault="001E1E31" w:rsidP="001E1E31">
      <w:pPr>
        <w:pStyle w:val="Heading1"/>
      </w:pPr>
      <w:r>
        <w:lastRenderedPageBreak/>
        <w:t>Owner</w:t>
      </w:r>
      <w:r w:rsidR="005E50C1" w:rsidRPr="000B3375">
        <w:t>ship</w:t>
      </w:r>
    </w:p>
    <w:p w14:paraId="2290BFCB" w14:textId="118E737F" w:rsidR="001E1E31" w:rsidRPr="001E1E31" w:rsidRDefault="001E1E31" w:rsidP="001E1E31">
      <w:pPr>
        <w:pStyle w:val="Caption"/>
        <w:keepNext/>
        <w:spacing w:after="0"/>
        <w:rPr>
          <w:b/>
          <w:color w:val="auto"/>
        </w:rPr>
      </w:pPr>
      <w:r w:rsidRPr="001E1E31">
        <w:rPr>
          <w:b/>
          <w:color w:val="auto"/>
        </w:rPr>
        <w:t xml:space="preserve">Table </w:t>
      </w:r>
      <w:r w:rsidRPr="001E1E31">
        <w:rPr>
          <w:b/>
          <w:color w:val="auto"/>
        </w:rPr>
        <w:fldChar w:fldCharType="begin"/>
      </w:r>
      <w:r w:rsidRPr="001E1E31">
        <w:rPr>
          <w:b/>
          <w:color w:val="auto"/>
        </w:rPr>
        <w:instrText xml:space="preserve"> SEQ Table \* ARABIC </w:instrText>
      </w:r>
      <w:r w:rsidRPr="001E1E31">
        <w:rPr>
          <w:b/>
          <w:color w:val="auto"/>
        </w:rPr>
        <w:fldChar w:fldCharType="separate"/>
      </w:r>
      <w:r>
        <w:rPr>
          <w:b/>
          <w:noProof/>
          <w:color w:val="auto"/>
        </w:rPr>
        <w:t>2</w:t>
      </w:r>
      <w:r w:rsidRPr="001E1E31">
        <w:rPr>
          <w:b/>
          <w:color w:val="auto"/>
        </w:rPr>
        <w:fldChar w:fldCharType="end"/>
      </w:r>
      <w:r w:rsidRPr="001E1E31">
        <w:rPr>
          <w:b/>
          <w:color w:val="auto"/>
        </w:rPr>
        <w:t>: KMB Ownership</w:t>
      </w:r>
    </w:p>
    <w:p w14:paraId="6AB6AE20" w14:textId="3D15D18A" w:rsidR="005E50C1" w:rsidRPr="001E1E31" w:rsidRDefault="001E1E31" w:rsidP="001E1E31">
      <w:pPr>
        <w:pStyle w:val="Caption"/>
        <w:keepNext/>
        <w:spacing w:after="0"/>
        <w:rPr>
          <w:b/>
          <w:color w:val="auto"/>
        </w:rPr>
      </w:pPr>
      <w:r w:rsidRPr="001E1E31">
        <w:rPr>
          <w:noProof/>
        </w:rPr>
        <w:drawing>
          <wp:inline distT="0" distB="0" distL="0" distR="0" wp14:anchorId="0AB8D40D" wp14:editId="2ECFA1CC">
            <wp:extent cx="5943600" cy="45667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56676"/>
                    </a:xfrm>
                    <a:prstGeom prst="rect">
                      <a:avLst/>
                    </a:prstGeom>
                    <a:noFill/>
                    <a:ln>
                      <a:noFill/>
                    </a:ln>
                  </pic:spPr>
                </pic:pic>
              </a:graphicData>
            </a:graphic>
          </wp:inline>
        </w:drawing>
      </w:r>
    </w:p>
    <w:p w14:paraId="15100591" w14:textId="58948915" w:rsidR="001E1E31" w:rsidRPr="001E1E31" w:rsidRDefault="00D271A2" w:rsidP="001E1E31">
      <w:pPr>
        <w:pStyle w:val="Heading1"/>
      </w:pPr>
      <w:r w:rsidRPr="000B3375">
        <w:t>Top 5 Shareholders</w:t>
      </w:r>
    </w:p>
    <w:p w14:paraId="22B2539C" w14:textId="1243CCC4" w:rsidR="001E1E31" w:rsidRPr="001E1E31" w:rsidRDefault="001E1E31" w:rsidP="001E1E31">
      <w:pPr>
        <w:pStyle w:val="Caption"/>
        <w:keepNext/>
        <w:spacing w:after="0"/>
        <w:rPr>
          <w:b/>
          <w:color w:val="auto"/>
        </w:rPr>
      </w:pPr>
      <w:r w:rsidRPr="001E1E31">
        <w:rPr>
          <w:b/>
          <w:color w:val="auto"/>
        </w:rPr>
        <w:t xml:space="preserve">Table </w:t>
      </w:r>
      <w:r w:rsidRPr="001E1E31">
        <w:rPr>
          <w:b/>
          <w:color w:val="auto"/>
        </w:rPr>
        <w:fldChar w:fldCharType="begin"/>
      </w:r>
      <w:r w:rsidRPr="001E1E31">
        <w:rPr>
          <w:b/>
          <w:color w:val="auto"/>
        </w:rPr>
        <w:instrText xml:space="preserve"> SEQ Table \* ARABIC </w:instrText>
      </w:r>
      <w:r w:rsidRPr="001E1E31">
        <w:rPr>
          <w:b/>
          <w:color w:val="auto"/>
        </w:rPr>
        <w:fldChar w:fldCharType="separate"/>
      </w:r>
      <w:r w:rsidRPr="001E1E31">
        <w:rPr>
          <w:b/>
          <w:noProof/>
          <w:color w:val="auto"/>
        </w:rPr>
        <w:t>3</w:t>
      </w:r>
      <w:r w:rsidRPr="001E1E31">
        <w:rPr>
          <w:b/>
          <w:color w:val="auto"/>
        </w:rPr>
        <w:fldChar w:fldCharType="end"/>
      </w:r>
      <w:r w:rsidRPr="001E1E31">
        <w:rPr>
          <w:b/>
          <w:color w:val="auto"/>
        </w:rPr>
        <w:t>: KMB Top 5 Shareholders</w:t>
      </w:r>
    </w:p>
    <w:p w14:paraId="713231CC" w14:textId="62F611A6" w:rsidR="00D271A2" w:rsidRDefault="001E1E31" w:rsidP="00713D5A">
      <w:pPr>
        <w:pStyle w:val="NoSpacing"/>
        <w:spacing w:line="360" w:lineRule="auto"/>
      </w:pPr>
      <w:r w:rsidRPr="001E1E31">
        <w:rPr>
          <w:noProof/>
        </w:rPr>
        <w:drawing>
          <wp:inline distT="0" distB="0" distL="0" distR="0" wp14:anchorId="68E9E39F" wp14:editId="4C02479C">
            <wp:extent cx="5943600" cy="11110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111017"/>
                    </a:xfrm>
                    <a:prstGeom prst="rect">
                      <a:avLst/>
                    </a:prstGeom>
                    <a:noFill/>
                    <a:ln>
                      <a:noFill/>
                    </a:ln>
                  </pic:spPr>
                </pic:pic>
              </a:graphicData>
            </a:graphic>
          </wp:inline>
        </w:drawing>
      </w:r>
    </w:p>
    <w:p w14:paraId="6FB540D4" w14:textId="0B3CC7EA" w:rsidR="00E82365" w:rsidRDefault="00E82365" w:rsidP="00087784"/>
    <w:p w14:paraId="145312E9" w14:textId="0B44BA1D" w:rsidR="001E7005" w:rsidRPr="00E82365" w:rsidRDefault="001E7005" w:rsidP="00E82365">
      <w:pPr>
        <w:tabs>
          <w:tab w:val="left" w:pos="5424"/>
        </w:tabs>
      </w:pPr>
    </w:p>
    <w:sectPr w:rsidR="001E7005" w:rsidRPr="00E8236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2C428" w14:textId="77777777" w:rsidR="00EE31B5" w:rsidRDefault="00EE31B5" w:rsidP="00E82365">
      <w:pPr>
        <w:spacing w:after="0" w:line="240" w:lineRule="auto"/>
      </w:pPr>
      <w:r>
        <w:separator/>
      </w:r>
    </w:p>
  </w:endnote>
  <w:endnote w:type="continuationSeparator" w:id="0">
    <w:p w14:paraId="5AE6FC58" w14:textId="77777777" w:rsidR="00EE31B5" w:rsidRDefault="00EE31B5" w:rsidP="00E82365">
      <w:pPr>
        <w:spacing w:after="0" w:line="240" w:lineRule="auto"/>
      </w:pPr>
      <w:r>
        <w:continuationSeparator/>
      </w:r>
    </w:p>
  </w:endnote>
  <w:endnote w:type="continuationNotice" w:id="1">
    <w:p w14:paraId="3F363727" w14:textId="77777777" w:rsidR="00EE31B5" w:rsidRDefault="00EE31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arlow Solid Italic">
    <w:altName w:val="Playbill"/>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A4958" w14:textId="77777777" w:rsidR="008C2159" w:rsidRDefault="008C2159" w:rsidP="00E82365">
    <w:pPr>
      <w:pStyle w:val="Footer"/>
      <w:pBdr>
        <w:top w:val="single" w:sz="24" w:space="1" w:color="FFC000"/>
      </w:pBdr>
      <w:jc w:val="center"/>
      <w:rPr>
        <w:i/>
        <w:sz w:val="24"/>
        <w:szCs w:val="24"/>
      </w:rPr>
    </w:pPr>
    <w:r>
      <w:rPr>
        <w:i/>
        <w:sz w:val="24"/>
        <w:szCs w:val="24"/>
      </w:rPr>
      <w:t>Excellence</w:t>
    </w:r>
    <w:proofErr w:type="gramStart"/>
    <w:r>
      <w:rPr>
        <w:i/>
        <w:sz w:val="24"/>
        <w:szCs w:val="24"/>
      </w:rPr>
      <w:t xml:space="preserve">.  </w:t>
    </w:r>
    <w:proofErr w:type="gramEnd"/>
    <w:r>
      <w:rPr>
        <w:i/>
        <w:sz w:val="24"/>
        <w:szCs w:val="24"/>
      </w:rPr>
      <w:t>Our Measure</w:t>
    </w:r>
    <w:proofErr w:type="gramStart"/>
    <w:r>
      <w:rPr>
        <w:i/>
        <w:sz w:val="24"/>
        <w:szCs w:val="24"/>
      </w:rPr>
      <w:t xml:space="preserve">.  </w:t>
    </w:r>
    <w:proofErr w:type="gramEnd"/>
    <w:r>
      <w:rPr>
        <w:i/>
        <w:sz w:val="24"/>
        <w:szCs w:val="24"/>
      </w:rPr>
      <w:t>Our Motto</w:t>
    </w:r>
    <w:proofErr w:type="gramStart"/>
    <w:r>
      <w:rPr>
        <w:i/>
        <w:sz w:val="24"/>
        <w:szCs w:val="24"/>
      </w:rPr>
      <w:t xml:space="preserve">.  </w:t>
    </w:r>
    <w:proofErr w:type="gramEnd"/>
    <w:r>
      <w:rPr>
        <w:i/>
        <w:sz w:val="24"/>
        <w:szCs w:val="24"/>
      </w:rPr>
      <w:t>Our Goal.</w:t>
    </w:r>
  </w:p>
  <w:p w14:paraId="4DEAD694" w14:textId="37280005" w:rsidR="008C2159" w:rsidRPr="00E82365" w:rsidRDefault="008C2159" w:rsidP="00E82365">
    <w:pPr>
      <w:pStyle w:val="Footer"/>
      <w:pBdr>
        <w:top w:val="single" w:sz="24" w:space="1" w:color="FFC000"/>
      </w:pBdr>
      <w:tabs>
        <w:tab w:val="left" w:pos="4584"/>
      </w:tabs>
      <w:rPr>
        <w:i/>
        <w:sz w:val="24"/>
        <w:szCs w:val="24"/>
      </w:rPr>
    </w:pPr>
    <w:r>
      <w:rPr>
        <w:i/>
        <w:sz w:val="24"/>
        <w:szCs w:val="24"/>
      </w:rPr>
      <w:tab/>
    </w:r>
    <w:r>
      <w:rPr>
        <w:i/>
        <w:sz w:val="24"/>
        <w:szCs w:val="24"/>
      </w:rPr>
      <w:tab/>
    </w:r>
    <w:r>
      <w:rPr>
        <w:i/>
        <w:sz w:val="24"/>
        <w:szCs w:val="24"/>
      </w:rPr>
      <w:tab/>
      <w:t xml:space="preserve"> </w:t>
    </w:r>
    <w:r w:rsidRPr="00A34EFB">
      <w:rPr>
        <w:i/>
        <w:color w:val="7F7F7F" w:themeColor="background1" w:themeShade="7F"/>
        <w:spacing w:val="60"/>
        <w:sz w:val="24"/>
        <w:szCs w:val="24"/>
      </w:rPr>
      <w:t>Page</w:t>
    </w:r>
    <w:r w:rsidRPr="00A34EFB">
      <w:rPr>
        <w:i/>
        <w:sz w:val="24"/>
        <w:szCs w:val="24"/>
      </w:rPr>
      <w:t xml:space="preserve"> | </w:t>
    </w:r>
    <w:r w:rsidRPr="00A34EFB">
      <w:rPr>
        <w:i/>
        <w:sz w:val="24"/>
        <w:szCs w:val="24"/>
      </w:rPr>
      <w:fldChar w:fldCharType="begin"/>
    </w:r>
    <w:r w:rsidRPr="00A34EFB">
      <w:rPr>
        <w:i/>
        <w:sz w:val="24"/>
        <w:szCs w:val="24"/>
      </w:rPr>
      <w:instrText xml:space="preserve"> PAGE   \* MERGEFORMAT </w:instrText>
    </w:r>
    <w:r w:rsidRPr="00A34EFB">
      <w:rPr>
        <w:i/>
        <w:sz w:val="24"/>
        <w:szCs w:val="24"/>
      </w:rPr>
      <w:fldChar w:fldCharType="separate"/>
    </w:r>
    <w:r w:rsidR="008430E0" w:rsidRPr="008430E0">
      <w:rPr>
        <w:b/>
        <w:bCs/>
        <w:i/>
        <w:noProof/>
        <w:sz w:val="24"/>
        <w:szCs w:val="24"/>
      </w:rPr>
      <w:t>1</w:t>
    </w:r>
    <w:r w:rsidRPr="00A34EFB">
      <w:rPr>
        <w:b/>
        <w:bCs/>
        <w:i/>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6790C" w14:textId="77777777" w:rsidR="00EE31B5" w:rsidRDefault="00EE31B5" w:rsidP="00E82365">
      <w:pPr>
        <w:spacing w:after="0" w:line="240" w:lineRule="auto"/>
      </w:pPr>
      <w:r>
        <w:separator/>
      </w:r>
    </w:p>
  </w:footnote>
  <w:footnote w:type="continuationSeparator" w:id="0">
    <w:p w14:paraId="47D164B3" w14:textId="77777777" w:rsidR="00EE31B5" w:rsidRDefault="00EE31B5" w:rsidP="00E82365">
      <w:pPr>
        <w:spacing w:after="0" w:line="240" w:lineRule="auto"/>
      </w:pPr>
      <w:r>
        <w:continuationSeparator/>
      </w:r>
    </w:p>
  </w:footnote>
  <w:footnote w:type="continuationNotice" w:id="1">
    <w:p w14:paraId="70D14809" w14:textId="77777777" w:rsidR="00EE31B5" w:rsidRDefault="00EE31B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F3528" w14:textId="77777777" w:rsidR="008C2159" w:rsidRPr="00475F7E" w:rsidRDefault="008C2159" w:rsidP="00E82365">
    <w:pPr>
      <w:pStyle w:val="NormalWeb"/>
      <w:pBdr>
        <w:bottom w:val="thickThinSmallGap" w:sz="24" w:space="1" w:color="FFC000"/>
      </w:pBdr>
      <w:tabs>
        <w:tab w:val="left" w:pos="4632"/>
        <w:tab w:val="right" w:pos="9360"/>
      </w:tabs>
      <w:spacing w:before="0" w:beforeAutospacing="0" w:after="0" w:afterAutospacing="0"/>
    </w:pPr>
    <w:r w:rsidRPr="00475F7E">
      <w:rPr>
        <w:rFonts w:ascii="Arial Black" w:eastAsiaTheme="minorEastAsia" w:hAnsi="Arial Black" w:cstheme="minorBidi"/>
        <w:color w:val="2F5496" w:themeColor="accent5" w:themeShade="BF"/>
        <w:kern w:val="24"/>
      </w:rPr>
      <w:t xml:space="preserve">UWEC </w:t>
    </w:r>
    <w:r w:rsidRPr="00475F7E">
      <w:rPr>
        <w:rFonts w:ascii="Harlow Solid Italic" w:eastAsiaTheme="minorEastAsia" w:hAnsi="Harlow Solid Italic" w:cstheme="minorBidi"/>
        <w:color w:val="2F5496" w:themeColor="accent5" w:themeShade="BF"/>
        <w:kern w:val="24"/>
      </w:rPr>
      <w:t xml:space="preserve">College of Business  </w:t>
    </w:r>
    <w:r>
      <w:rPr>
        <w:rFonts w:ascii="Harlow Solid Italic" w:eastAsiaTheme="minorEastAsia" w:hAnsi="Harlow Solid Italic" w:cstheme="minorBidi"/>
        <w:color w:val="2F5496" w:themeColor="accent5" w:themeShade="BF"/>
        <w:kern w:val="24"/>
      </w:rPr>
      <w:tab/>
    </w:r>
    <w:r>
      <w:rPr>
        <w:rFonts w:ascii="Harlow Solid Italic" w:eastAsiaTheme="minorEastAsia" w:hAnsi="Harlow Solid Italic" w:cstheme="minorBidi"/>
        <w:color w:val="2F5496" w:themeColor="accent5" w:themeShade="BF"/>
        <w:kern w:val="24"/>
      </w:rPr>
      <w:tab/>
    </w:r>
    <w:r w:rsidRPr="00475F7E">
      <w:rPr>
        <w:rFonts w:asciiTheme="minorHAnsi" w:eastAsiaTheme="minorEastAsia" w:hAnsi="Calibri" w:cstheme="minorBidi"/>
        <w:b/>
        <w:bCs/>
        <w:color w:val="2F5496" w:themeColor="accent5" w:themeShade="BF"/>
        <w:kern w:val="24"/>
      </w:rPr>
      <w:t xml:space="preserve">FIN439 Investment Strategies – </w:t>
    </w:r>
    <w:r>
      <w:rPr>
        <w:rFonts w:asciiTheme="minorHAnsi" w:eastAsiaTheme="minorEastAsia" w:hAnsi="Calibri" w:cstheme="minorBidi"/>
        <w:b/>
        <w:bCs/>
        <w:color w:val="2F5496" w:themeColor="accent5" w:themeShade="BF"/>
        <w:kern w:val="24"/>
      </w:rPr>
      <w:t>Spring 2018</w:t>
    </w:r>
  </w:p>
  <w:p w14:paraId="26D208DE" w14:textId="77777777" w:rsidR="008C2159" w:rsidRDefault="008C21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97069"/>
    <w:multiLevelType w:val="hybridMultilevel"/>
    <w:tmpl w:val="793EB894"/>
    <w:lvl w:ilvl="0" w:tplc="825ED2BC">
      <w:start w:val="1"/>
      <w:numFmt w:val="bullet"/>
      <w:lvlText w:val=""/>
      <w:lvlJc w:val="left"/>
      <w:pPr>
        <w:ind w:left="720" w:hanging="360"/>
      </w:pPr>
      <w:rPr>
        <w:rFonts w:ascii="Symbol" w:hAnsi="Symbol" w:hint="default"/>
      </w:rPr>
    </w:lvl>
    <w:lvl w:ilvl="1" w:tplc="F0545048">
      <w:start w:val="1"/>
      <w:numFmt w:val="bullet"/>
      <w:lvlText w:val="o"/>
      <w:lvlJc w:val="left"/>
      <w:pPr>
        <w:ind w:left="1440" w:hanging="360"/>
      </w:pPr>
      <w:rPr>
        <w:rFonts w:ascii="Courier New" w:hAnsi="Courier New" w:hint="default"/>
      </w:rPr>
    </w:lvl>
    <w:lvl w:ilvl="2" w:tplc="294EFAAC">
      <w:start w:val="1"/>
      <w:numFmt w:val="bullet"/>
      <w:lvlText w:val=""/>
      <w:lvlJc w:val="left"/>
      <w:pPr>
        <w:ind w:left="2160" w:hanging="360"/>
      </w:pPr>
      <w:rPr>
        <w:rFonts w:ascii="Wingdings" w:hAnsi="Wingdings" w:hint="default"/>
      </w:rPr>
    </w:lvl>
    <w:lvl w:ilvl="3" w:tplc="558C3EC6">
      <w:start w:val="1"/>
      <w:numFmt w:val="bullet"/>
      <w:lvlText w:val=""/>
      <w:lvlJc w:val="left"/>
      <w:pPr>
        <w:ind w:left="2880" w:hanging="360"/>
      </w:pPr>
      <w:rPr>
        <w:rFonts w:ascii="Symbol" w:hAnsi="Symbol" w:hint="default"/>
      </w:rPr>
    </w:lvl>
    <w:lvl w:ilvl="4" w:tplc="9124B1F4">
      <w:start w:val="1"/>
      <w:numFmt w:val="bullet"/>
      <w:lvlText w:val="o"/>
      <w:lvlJc w:val="left"/>
      <w:pPr>
        <w:ind w:left="3600" w:hanging="360"/>
      </w:pPr>
      <w:rPr>
        <w:rFonts w:ascii="Courier New" w:hAnsi="Courier New" w:hint="default"/>
      </w:rPr>
    </w:lvl>
    <w:lvl w:ilvl="5" w:tplc="93EEA5D0">
      <w:start w:val="1"/>
      <w:numFmt w:val="bullet"/>
      <w:lvlText w:val=""/>
      <w:lvlJc w:val="left"/>
      <w:pPr>
        <w:ind w:left="4320" w:hanging="360"/>
      </w:pPr>
      <w:rPr>
        <w:rFonts w:ascii="Wingdings" w:hAnsi="Wingdings" w:hint="default"/>
      </w:rPr>
    </w:lvl>
    <w:lvl w:ilvl="6" w:tplc="8B2821AE">
      <w:start w:val="1"/>
      <w:numFmt w:val="bullet"/>
      <w:lvlText w:val=""/>
      <w:lvlJc w:val="left"/>
      <w:pPr>
        <w:ind w:left="5040" w:hanging="360"/>
      </w:pPr>
      <w:rPr>
        <w:rFonts w:ascii="Symbol" w:hAnsi="Symbol" w:hint="default"/>
      </w:rPr>
    </w:lvl>
    <w:lvl w:ilvl="7" w:tplc="73969BFA">
      <w:start w:val="1"/>
      <w:numFmt w:val="bullet"/>
      <w:lvlText w:val="o"/>
      <w:lvlJc w:val="left"/>
      <w:pPr>
        <w:ind w:left="5760" w:hanging="360"/>
      </w:pPr>
      <w:rPr>
        <w:rFonts w:ascii="Courier New" w:hAnsi="Courier New" w:hint="default"/>
      </w:rPr>
    </w:lvl>
    <w:lvl w:ilvl="8" w:tplc="71067768">
      <w:start w:val="1"/>
      <w:numFmt w:val="bullet"/>
      <w:lvlText w:val=""/>
      <w:lvlJc w:val="left"/>
      <w:pPr>
        <w:ind w:left="6480" w:hanging="360"/>
      </w:pPr>
      <w:rPr>
        <w:rFonts w:ascii="Wingdings" w:hAnsi="Wingdings" w:hint="default"/>
      </w:rPr>
    </w:lvl>
  </w:abstractNum>
  <w:abstractNum w:abstractNumId="1" w15:restartNumberingAfterBreak="0">
    <w:nsid w:val="751B6B13"/>
    <w:multiLevelType w:val="hybridMultilevel"/>
    <w:tmpl w:val="1250EB10"/>
    <w:lvl w:ilvl="0" w:tplc="54A46A36">
      <w:start w:val="1"/>
      <w:numFmt w:val="bullet"/>
      <w:lvlText w:val=""/>
      <w:lvlJc w:val="left"/>
      <w:pPr>
        <w:ind w:left="720" w:hanging="360"/>
      </w:pPr>
      <w:rPr>
        <w:rFonts w:ascii="Symbol" w:hAnsi="Symbol" w:hint="default"/>
      </w:rPr>
    </w:lvl>
    <w:lvl w:ilvl="1" w:tplc="F92A83F0">
      <w:start w:val="1"/>
      <w:numFmt w:val="bullet"/>
      <w:lvlText w:val="o"/>
      <w:lvlJc w:val="left"/>
      <w:pPr>
        <w:ind w:left="1440" w:hanging="360"/>
      </w:pPr>
      <w:rPr>
        <w:rFonts w:ascii="Courier New" w:hAnsi="Courier New" w:hint="default"/>
      </w:rPr>
    </w:lvl>
    <w:lvl w:ilvl="2" w:tplc="1C58B062">
      <w:start w:val="1"/>
      <w:numFmt w:val="bullet"/>
      <w:lvlText w:val=""/>
      <w:lvlJc w:val="left"/>
      <w:pPr>
        <w:ind w:left="2160" w:hanging="360"/>
      </w:pPr>
      <w:rPr>
        <w:rFonts w:ascii="Wingdings" w:hAnsi="Wingdings" w:hint="default"/>
      </w:rPr>
    </w:lvl>
    <w:lvl w:ilvl="3" w:tplc="217A9BC0">
      <w:start w:val="1"/>
      <w:numFmt w:val="bullet"/>
      <w:lvlText w:val=""/>
      <w:lvlJc w:val="left"/>
      <w:pPr>
        <w:ind w:left="2880" w:hanging="360"/>
      </w:pPr>
      <w:rPr>
        <w:rFonts w:ascii="Symbol" w:hAnsi="Symbol" w:hint="default"/>
      </w:rPr>
    </w:lvl>
    <w:lvl w:ilvl="4" w:tplc="94447134">
      <w:start w:val="1"/>
      <w:numFmt w:val="bullet"/>
      <w:lvlText w:val="o"/>
      <w:lvlJc w:val="left"/>
      <w:pPr>
        <w:ind w:left="3600" w:hanging="360"/>
      </w:pPr>
      <w:rPr>
        <w:rFonts w:ascii="Courier New" w:hAnsi="Courier New" w:hint="default"/>
      </w:rPr>
    </w:lvl>
    <w:lvl w:ilvl="5" w:tplc="6278FD12">
      <w:start w:val="1"/>
      <w:numFmt w:val="bullet"/>
      <w:lvlText w:val=""/>
      <w:lvlJc w:val="left"/>
      <w:pPr>
        <w:ind w:left="4320" w:hanging="360"/>
      </w:pPr>
      <w:rPr>
        <w:rFonts w:ascii="Wingdings" w:hAnsi="Wingdings" w:hint="default"/>
      </w:rPr>
    </w:lvl>
    <w:lvl w:ilvl="6" w:tplc="368036A8">
      <w:start w:val="1"/>
      <w:numFmt w:val="bullet"/>
      <w:lvlText w:val=""/>
      <w:lvlJc w:val="left"/>
      <w:pPr>
        <w:ind w:left="5040" w:hanging="360"/>
      </w:pPr>
      <w:rPr>
        <w:rFonts w:ascii="Symbol" w:hAnsi="Symbol" w:hint="default"/>
      </w:rPr>
    </w:lvl>
    <w:lvl w:ilvl="7" w:tplc="2E98DC3C">
      <w:start w:val="1"/>
      <w:numFmt w:val="bullet"/>
      <w:lvlText w:val="o"/>
      <w:lvlJc w:val="left"/>
      <w:pPr>
        <w:ind w:left="5760" w:hanging="360"/>
      </w:pPr>
      <w:rPr>
        <w:rFonts w:ascii="Courier New" w:hAnsi="Courier New" w:hint="default"/>
      </w:rPr>
    </w:lvl>
    <w:lvl w:ilvl="8" w:tplc="6CAA2CF2">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53660CB"/>
    <w:rsid w:val="00042190"/>
    <w:rsid w:val="000477E3"/>
    <w:rsid w:val="00053542"/>
    <w:rsid w:val="0006128D"/>
    <w:rsid w:val="00082018"/>
    <w:rsid w:val="00087784"/>
    <w:rsid w:val="000A7D00"/>
    <w:rsid w:val="000B3375"/>
    <w:rsid w:val="000D46F1"/>
    <w:rsid w:val="000D537C"/>
    <w:rsid w:val="000D785A"/>
    <w:rsid w:val="000E5D0C"/>
    <w:rsid w:val="000F080C"/>
    <w:rsid w:val="00114C8B"/>
    <w:rsid w:val="00122F79"/>
    <w:rsid w:val="00137864"/>
    <w:rsid w:val="00146AC2"/>
    <w:rsid w:val="00170761"/>
    <w:rsid w:val="001A69EE"/>
    <w:rsid w:val="001C2A98"/>
    <w:rsid w:val="001E1E31"/>
    <w:rsid w:val="001E7005"/>
    <w:rsid w:val="00222E42"/>
    <w:rsid w:val="00232CB4"/>
    <w:rsid w:val="002408A6"/>
    <w:rsid w:val="00240D12"/>
    <w:rsid w:val="0026095E"/>
    <w:rsid w:val="00287446"/>
    <w:rsid w:val="002B241D"/>
    <w:rsid w:val="002E3D8E"/>
    <w:rsid w:val="00332E88"/>
    <w:rsid w:val="00336302"/>
    <w:rsid w:val="0034027A"/>
    <w:rsid w:val="0037299D"/>
    <w:rsid w:val="0039544B"/>
    <w:rsid w:val="003B2616"/>
    <w:rsid w:val="00441AE7"/>
    <w:rsid w:val="004604C7"/>
    <w:rsid w:val="00460C4C"/>
    <w:rsid w:val="0046785B"/>
    <w:rsid w:val="00493151"/>
    <w:rsid w:val="004B2738"/>
    <w:rsid w:val="004B5AFA"/>
    <w:rsid w:val="004D2FEC"/>
    <w:rsid w:val="004F05B6"/>
    <w:rsid w:val="005047F5"/>
    <w:rsid w:val="00522294"/>
    <w:rsid w:val="00565D08"/>
    <w:rsid w:val="005964D4"/>
    <w:rsid w:val="005B32A1"/>
    <w:rsid w:val="005C36E7"/>
    <w:rsid w:val="005E50C1"/>
    <w:rsid w:val="005E7E7D"/>
    <w:rsid w:val="005F2C65"/>
    <w:rsid w:val="00634D4A"/>
    <w:rsid w:val="006542A3"/>
    <w:rsid w:val="00655E03"/>
    <w:rsid w:val="006B4094"/>
    <w:rsid w:val="006C1C0F"/>
    <w:rsid w:val="006D0DE8"/>
    <w:rsid w:val="006D3184"/>
    <w:rsid w:val="006E34CE"/>
    <w:rsid w:val="00705C1C"/>
    <w:rsid w:val="00710BB3"/>
    <w:rsid w:val="0071327A"/>
    <w:rsid w:val="00713D5A"/>
    <w:rsid w:val="00723A86"/>
    <w:rsid w:val="00736E36"/>
    <w:rsid w:val="00746F12"/>
    <w:rsid w:val="007576E6"/>
    <w:rsid w:val="007D3FFC"/>
    <w:rsid w:val="007D4EFF"/>
    <w:rsid w:val="007F31BD"/>
    <w:rsid w:val="007F7A80"/>
    <w:rsid w:val="008430E0"/>
    <w:rsid w:val="008675D0"/>
    <w:rsid w:val="00871F0F"/>
    <w:rsid w:val="00876E8C"/>
    <w:rsid w:val="008C2159"/>
    <w:rsid w:val="008D388E"/>
    <w:rsid w:val="008F09E6"/>
    <w:rsid w:val="00903B6D"/>
    <w:rsid w:val="0090657B"/>
    <w:rsid w:val="00942416"/>
    <w:rsid w:val="0096413F"/>
    <w:rsid w:val="00974AD3"/>
    <w:rsid w:val="009C4467"/>
    <w:rsid w:val="009D2C9F"/>
    <w:rsid w:val="009E6927"/>
    <w:rsid w:val="009F3477"/>
    <w:rsid w:val="00A12C69"/>
    <w:rsid w:val="00A342DA"/>
    <w:rsid w:val="00A72258"/>
    <w:rsid w:val="00A8163D"/>
    <w:rsid w:val="00A828E9"/>
    <w:rsid w:val="00A85D21"/>
    <w:rsid w:val="00A9346F"/>
    <w:rsid w:val="00AB18AA"/>
    <w:rsid w:val="00AC1875"/>
    <w:rsid w:val="00AC49A6"/>
    <w:rsid w:val="00AE1AF7"/>
    <w:rsid w:val="00AF0A11"/>
    <w:rsid w:val="00B514BB"/>
    <w:rsid w:val="00B524BF"/>
    <w:rsid w:val="00B71711"/>
    <w:rsid w:val="00B9055F"/>
    <w:rsid w:val="00BA29CC"/>
    <w:rsid w:val="00BA2CD2"/>
    <w:rsid w:val="00BD5A4F"/>
    <w:rsid w:val="00BE046A"/>
    <w:rsid w:val="00C105B2"/>
    <w:rsid w:val="00C27708"/>
    <w:rsid w:val="00C338E2"/>
    <w:rsid w:val="00C36323"/>
    <w:rsid w:val="00C36948"/>
    <w:rsid w:val="00C7057B"/>
    <w:rsid w:val="00C85414"/>
    <w:rsid w:val="00CC3740"/>
    <w:rsid w:val="00CC4D8A"/>
    <w:rsid w:val="00CD16B4"/>
    <w:rsid w:val="00CD598C"/>
    <w:rsid w:val="00D00BED"/>
    <w:rsid w:val="00D0120A"/>
    <w:rsid w:val="00D23865"/>
    <w:rsid w:val="00D271A2"/>
    <w:rsid w:val="00D51411"/>
    <w:rsid w:val="00D85366"/>
    <w:rsid w:val="00DA53C2"/>
    <w:rsid w:val="00E076DB"/>
    <w:rsid w:val="00E12109"/>
    <w:rsid w:val="00E31FD9"/>
    <w:rsid w:val="00E361F3"/>
    <w:rsid w:val="00E71BBF"/>
    <w:rsid w:val="00E725AE"/>
    <w:rsid w:val="00E82365"/>
    <w:rsid w:val="00E94399"/>
    <w:rsid w:val="00E960FB"/>
    <w:rsid w:val="00E96222"/>
    <w:rsid w:val="00EC6335"/>
    <w:rsid w:val="00EE0715"/>
    <w:rsid w:val="00EE31B5"/>
    <w:rsid w:val="00EE446C"/>
    <w:rsid w:val="00EF6A4C"/>
    <w:rsid w:val="00F033C0"/>
    <w:rsid w:val="00F03F7F"/>
    <w:rsid w:val="00F404DD"/>
    <w:rsid w:val="00F507F2"/>
    <w:rsid w:val="00F563F6"/>
    <w:rsid w:val="00F567A8"/>
    <w:rsid w:val="00F744BF"/>
    <w:rsid w:val="00F86800"/>
    <w:rsid w:val="00FE7E44"/>
    <w:rsid w:val="06EC6E19"/>
    <w:rsid w:val="14DA6B2C"/>
    <w:rsid w:val="36E98EF4"/>
    <w:rsid w:val="43D57282"/>
    <w:rsid w:val="746BEF2F"/>
    <w:rsid w:val="75366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660CB"/>
  <w15:chartTrackingRefBased/>
  <w15:docId w15:val="{3A6AA251-4387-41C8-B33A-9897D589A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3375"/>
    <w:pPr>
      <w:keepNext/>
      <w:keepLines/>
      <w:spacing w:before="240" w:after="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365"/>
  </w:style>
  <w:style w:type="paragraph" w:styleId="Footer">
    <w:name w:val="footer"/>
    <w:basedOn w:val="Normal"/>
    <w:link w:val="FooterChar"/>
    <w:uiPriority w:val="99"/>
    <w:unhideWhenUsed/>
    <w:rsid w:val="00E82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365"/>
  </w:style>
  <w:style w:type="paragraph" w:styleId="NormalWeb">
    <w:name w:val="Normal (Web)"/>
    <w:basedOn w:val="Normal"/>
    <w:uiPriority w:val="99"/>
    <w:semiHidden/>
    <w:unhideWhenUsed/>
    <w:rsid w:val="00E8236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13D5A"/>
    <w:pPr>
      <w:spacing w:after="0" w:line="240" w:lineRule="auto"/>
    </w:pPr>
  </w:style>
  <w:style w:type="table" w:styleId="TableGrid">
    <w:name w:val="Table Grid"/>
    <w:basedOn w:val="TableNormal"/>
    <w:uiPriority w:val="39"/>
    <w:rsid w:val="00E72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65D08"/>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0B3375"/>
    <w:rPr>
      <w:rFonts w:eastAsiaTheme="majorEastAsia"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94610">
      <w:bodyDiv w:val="1"/>
      <w:marLeft w:val="0"/>
      <w:marRight w:val="0"/>
      <w:marTop w:val="0"/>
      <w:marBottom w:val="0"/>
      <w:divBdr>
        <w:top w:val="none" w:sz="0" w:space="0" w:color="auto"/>
        <w:left w:val="none" w:sz="0" w:space="0" w:color="auto"/>
        <w:bottom w:val="none" w:sz="0" w:space="0" w:color="auto"/>
        <w:right w:val="none" w:sz="0" w:space="0" w:color="auto"/>
      </w:divBdr>
    </w:div>
    <w:div w:id="103161382">
      <w:bodyDiv w:val="1"/>
      <w:marLeft w:val="0"/>
      <w:marRight w:val="0"/>
      <w:marTop w:val="0"/>
      <w:marBottom w:val="0"/>
      <w:divBdr>
        <w:top w:val="none" w:sz="0" w:space="0" w:color="auto"/>
        <w:left w:val="none" w:sz="0" w:space="0" w:color="auto"/>
        <w:bottom w:val="none" w:sz="0" w:space="0" w:color="auto"/>
        <w:right w:val="none" w:sz="0" w:space="0" w:color="auto"/>
      </w:divBdr>
    </w:div>
    <w:div w:id="637883767">
      <w:bodyDiv w:val="1"/>
      <w:marLeft w:val="0"/>
      <w:marRight w:val="0"/>
      <w:marTop w:val="0"/>
      <w:marBottom w:val="0"/>
      <w:divBdr>
        <w:top w:val="none" w:sz="0" w:space="0" w:color="auto"/>
        <w:left w:val="none" w:sz="0" w:space="0" w:color="auto"/>
        <w:bottom w:val="none" w:sz="0" w:space="0" w:color="auto"/>
        <w:right w:val="none" w:sz="0" w:space="0" w:color="auto"/>
      </w:divBdr>
    </w:div>
    <w:div w:id="133307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F913C94-99B1-415E-BC6F-5D8703AA4471}">
  <we:reference id="wa102920437" version="1.3.1.1"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C7244-FA70-404C-A712-9EC2BF093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Setterman, Caitlin Ann</dc:creator>
  <cp:keywords/>
  <dc:description/>
  <cp:lastModifiedBy>Caitlin Setterman</cp:lastModifiedBy>
  <cp:revision>2</cp:revision>
  <dcterms:created xsi:type="dcterms:W3CDTF">2018-04-19T03:19:00Z</dcterms:created>
  <dcterms:modified xsi:type="dcterms:W3CDTF">2018-04-19T03:19:00Z</dcterms:modified>
</cp:coreProperties>
</file>