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21.xml" ContentType="application/vnd.ms-office.classificationlabels+xml"/>
  <Override PartName="/docMetadata/LabelInfo8.xml" ContentType="application/vnd.ms-office.classificationlabels+xml"/>
  <Override PartName="/docMetadata/LabelInfo13.xml" ContentType="application/vnd.ms-office.classificationlabels+xml"/>
  <Override PartName="/docMetadata/LabelInfo35.xml" ContentType="application/vnd.ms-office.classificationlabels+xml"/>
  <Override PartName="/docMetadata/LabelInfo16.xml" ContentType="application/vnd.ms-office.classificationlabels+xml"/>
  <Override PartName="/docMetadata/LabelInfo29.xml" ContentType="application/vnd.ms-office.classificationlabels+xml"/>
  <Override PartName="/docMetadata/LabelInfo38.xml" ContentType="application/vnd.ms-office.classificationlabels+xml"/>
  <Override PartName="/docMetadata/LabelInfo42.xml" ContentType="application/vnd.ms-office.classificationlabels+xml"/>
  <Override PartName="/docMetadata/LabelInfo46.xml" ContentType="application/vnd.ms-office.classificationlabels+xml"/>
  <Override PartName="/docMetadata/LabelInfo50.xml" ContentType="application/vnd.ms-office.classificationlabels+xml"/>
  <Override PartName="/docMetadata/LabelInfo2.xml" ContentType="application/vnd.ms-office.classificationlabels+xml"/>
  <Override PartName="/docMetadata/LabelInfo24.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6.xml" ContentType="application/vnd.ms-office.classificationlabels+xml"/>
  <Override PartName="/docMetadata/LabelInfo27.xml" ContentType="application/vnd.ms-office.classificationlabels+xml"/>
  <Override PartName="/docMetadata/LabelInfo32.xml" ContentType="application/vnd.ms-office.classificationlabels+xml"/>
  <Override PartName="/docMetadata/LabelInfo36.xml" ContentType="application/vnd.ms-office.classificationlabels+xml"/>
  <Override PartName="/docMetadata/LabelInfo41.xml" ContentType="application/vnd.ms-office.classificationlabels+xml"/>
  <Override PartName="/docMetadata/LabelInfo49.xml" ContentType="application/vnd.ms-office.classificationlabels+xml"/>
  <Override PartName="/docMetadata/LabelInfo53.xml" ContentType="application/vnd.ms-office.classificationlabels+xml"/>
  <Override PartName="/docMetadata/LabelInfo0.xml" ContentType="application/vnd.ms-office.classificationlabels+xml"/>
  <Override PartName="/docMetadata/LabelInfo22.xml" ContentType="application/vnd.ms-office.classificationlabels+xml"/>
  <Override PartName="/docMetadata/LabelInfo33.xml" ContentType="application/vnd.ms-office.classificationlabels+xml"/>
  <Override PartName="/docMetadata/LabelInfo31.xml" ContentType="application/vnd.ms-office.classificationlabels+xml"/>
  <Override PartName="/docMetadata/LabelInfo9.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14.xml" ContentType="application/vnd.ms-office.classificationlabels+xml"/>
  <Override PartName="/docMetadata/LabelInfo4.xml" ContentType="application/vnd.ms-office.classificationlabels+xml"/>
  <Override PartName="/docMetadata/LabelInfo39.xml" ContentType="application/vnd.ms-office.classificationlabels+xml"/>
  <Override PartName="/docMetadata/LabelInfo44.xml" ContentType="application/vnd.ms-office.classificationlabels+xml"/>
  <Override PartName="/docMetadata/LabelInfo52.xml" ContentType="application/vnd.ms-office.classificationlabels+xml"/>
  <Override PartName="/docMetadata/LabelInfo3.xml" ContentType="application/vnd.ms-office.classificationlabels+xml"/>
  <Override PartName="/docMetadata/LabelInfo47.xml" ContentType="application/vnd.ms-office.classificationlabels+xml"/>
  <Override PartName="/docMetadata/LabelInfo43.xml" ContentType="application/vnd.ms-office.classificationlabels+xml"/>
  <Override PartName="/docMetadata/LabelInfo20.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28.xml" ContentType="application/vnd.ms-office.classificationlabels+xml"/>
  <Override PartName="/docMetadata/LabelInfo34.xml" ContentType="application/vnd.ms-office.classificationlabels+xml"/>
  <Override PartName="/docMetadata/LabelInfo51.xml" ContentType="application/vnd.ms-office.classificationlabels+xml"/>
  <Override PartName="/docMetadata/LabelInfo15.xml" ContentType="application/vnd.ms-office.classificationlabels+xml"/>
  <Override PartName="/docMetadata/LabelInfo37.xml" ContentType="application/vnd.ms-office.classificationlabels+xml"/>
  <Override PartName="/docMetadata/LabelInfo1.xml" ContentType="application/vnd.ms-office.classificationlabels+xml"/>
  <Override PartName="/docMetadata/LabelInfo.xml" ContentType="application/vnd.ms-office.classificationlabels+xml"/>
  <Override PartName="/docMetadata/LabelInfo17.xml" ContentType="application/vnd.ms-office.classificationlabels+xml"/>
  <Override PartName="/docMetadata/LabelInfo23.xml" ContentType="application/vnd.ms-office.classificationlabels+xml"/>
  <Override PartName="/docMetadata/LabelInfo10.xml" ContentType="application/vnd.ms-office.classificationlabels+xml"/>
  <Override PartName="/docMetadata/LabelInfo30.xml" ContentType="application/vnd.ms-office.classificationlabels+xml"/>
  <Override PartName="/docMetadata/LabelInfo45.xml" ContentType="application/vnd.ms-office.classificationlabels+xml"/>
  <Override PartName="/docMetadata/LabelInfo25.xml" ContentType="application/vnd.ms-office.classificationlabels+xml"/>
  <Override PartName="/docMetadata/LabelInfo5.xml" ContentType="application/vnd.ms-office.classificationlabels+xml"/>
  <Override PartName="/docMetadata/LabelInfo40.xml" ContentType="application/vnd.ms-office.classificationlabels+xml"/>
  <Override PartName="/docMetadata/LabelInfo48.xml" ContentType="application/vnd.ms-office.classificationlabels+xml"/>
</Types>
</file>

<file path=_rels/.rels><?xml version="1.0" encoding="UTF-8" standalone="yes"?>
<Relationships xmlns="http://schemas.openxmlformats.org/package/2006/relationships"><Relationship Id="rId26" Type="http://schemas.microsoft.com/office/2020/02/relationships/classificationlabels" Target="docMetadata/LabelInfo21.xml"/><Relationship Id="rId13" Type="http://schemas.microsoft.com/office/2020/02/relationships/classificationlabels" Target="docMetadata/LabelInfo8.xml"/><Relationship Id="rId18" Type="http://schemas.microsoft.com/office/2020/02/relationships/classificationlabels" Target="docMetadata/LabelInfo13.xml"/><Relationship Id="rId39" Type="http://schemas.microsoft.com/office/2020/02/relationships/classificationlabels" Target="docMetadata/LabelInfo35.xml"/><Relationship Id="rId21" Type="http://schemas.microsoft.com/office/2020/02/relationships/classificationlabels" Target="docMetadata/LabelInfo16.xml"/><Relationship Id="rId34" Type="http://schemas.microsoft.com/office/2020/02/relationships/classificationlabels" Target="docMetadata/LabelInfo29.xml"/><Relationship Id="rId42" Type="http://schemas.microsoft.com/office/2020/02/relationships/classificationlabels" Target="docMetadata/LabelInfo38.xml"/><Relationship Id="rId47" Type="http://schemas.microsoft.com/office/2020/02/relationships/classificationlabels" Target="docMetadata/LabelInfo42.xml"/><Relationship Id="rId50" Type="http://schemas.microsoft.com/office/2020/02/relationships/classificationlabels" Target="docMetadata/LabelInfo46.xml"/><Relationship Id="rId55" Type="http://schemas.microsoft.com/office/2020/02/relationships/classificationlabels" Target="docMetadata/LabelInfo50.xml"/><Relationship Id="rId7" Type="http://schemas.microsoft.com/office/2020/02/relationships/classificationlabels" Target="docMetadata/LabelInfo2.xml"/><Relationship Id="rId2" Type="http://schemas.openxmlformats.org/package/2006/relationships/metadata/core-properties" Target="docProps/core.xml"/><Relationship Id="rId29" Type="http://schemas.microsoft.com/office/2020/02/relationships/classificationlabels" Target="docMetadata/LabelInfo24.xml"/><Relationship Id="rId16" Type="http://schemas.microsoft.com/office/2020/02/relationships/classificationlabels" Target="docMetadata/LabelInfo11.xml"/><Relationship Id="rId24" Type="http://schemas.microsoft.com/office/2020/02/relationships/classificationlabels" Target="docMetadata/LabelInfo19.xml"/><Relationship Id="rId11" Type="http://schemas.microsoft.com/office/2020/02/relationships/classificationlabels" Target="docMetadata/LabelInfo6.xml"/><Relationship Id="rId32" Type="http://schemas.microsoft.com/office/2020/02/relationships/classificationlabels" Target="docMetadata/LabelInfo27.xml"/><Relationship Id="rId37" Type="http://schemas.microsoft.com/office/2020/02/relationships/classificationlabels" Target="docMetadata/LabelInfo32.xml"/><Relationship Id="rId40" Type="http://schemas.microsoft.com/office/2020/02/relationships/classificationlabels" Target="docMetadata/LabelInfo36.xml"/><Relationship Id="rId45" Type="http://schemas.microsoft.com/office/2020/02/relationships/classificationlabels" Target="docMetadata/LabelInfo41.xml"/><Relationship Id="rId53" Type="http://schemas.microsoft.com/office/2020/02/relationships/classificationlabels" Target="docMetadata/LabelInfo49.xml"/><Relationship Id="rId58" Type="http://schemas.microsoft.com/office/2020/02/relationships/classificationlabels" Target="docMetadata/LabelInfo53.xml"/><Relationship Id="rId5" Type="http://schemas.microsoft.com/office/2020/02/relationships/classificationlabels" Target="docMetadata/LabelInfo0.xml"/><Relationship Id="rId19" Type="http://schemas.microsoft.com/office/2020/02/relationships/classificationlabels" Target="docMetadata/LabelInfo22.xml"/><Relationship Id="rId27" Type="http://schemas.microsoft.com/office/2020/02/relationships/classificationlabels" Target="docMetadata/LabelInfo33.xml"/><Relationship Id="rId35" Type="http://schemas.microsoft.com/office/2020/02/relationships/classificationlabels" Target="docMetadata/LabelInfo31.xml"/><Relationship Id="rId9" Type="http://schemas.microsoft.com/office/2020/02/relationships/classificationlabels" Target="docMetadata/LabelInfo9.xml"/><Relationship Id="rId22" Type="http://schemas.microsoft.com/office/2020/02/relationships/classificationlabels" Target="docMetadata/LabelInfo18.xml"/><Relationship Id="rId30" Type="http://schemas.microsoft.com/office/2020/02/relationships/classificationlabels" Target="docMetadata/LabelInfo26.xml"/><Relationship Id="rId14" Type="http://schemas.microsoft.com/office/2020/02/relationships/classificationlabels" Target="docMetadata/LabelInfo14.xml"/><Relationship Id="rId4" Type="http://schemas.microsoft.com/office/2020/02/relationships/classificationlabels" Target="docMetadata/LabelInfo4.xml"/><Relationship Id="rId43" Type="http://schemas.microsoft.com/office/2020/02/relationships/classificationlabels" Target="docMetadata/LabelInfo39.xml"/><Relationship Id="rId48" Type="http://schemas.microsoft.com/office/2020/02/relationships/classificationlabels" Target="docMetadata/LabelInfo44.xml"/><Relationship Id="rId56" Type="http://schemas.microsoft.com/office/2020/02/relationships/classificationlabels" Target="docMetadata/LabelInfo52.xml"/><Relationship Id="rId8" Type="http://schemas.microsoft.com/office/2020/02/relationships/classificationlabels" Target="docMetadata/LabelInfo3.xml"/><Relationship Id="rId51" Type="http://schemas.microsoft.com/office/2020/02/relationships/classificationlabels" Target="docMetadata/LabelInfo47.xml"/><Relationship Id="rId3" Type="http://schemas.openxmlformats.org/officeDocument/2006/relationships/extended-properties" Target="docProps/app.xml"/><Relationship Id="rId46" Type="http://schemas.microsoft.com/office/2020/02/relationships/classificationlabels" Target="docMetadata/LabelInfo43.xml"/><Relationship Id="rId25" Type="http://schemas.microsoft.com/office/2020/02/relationships/classificationlabels" Target="docMetadata/LabelInfo20.xml"/><Relationship Id="rId12" Type="http://schemas.microsoft.com/office/2020/02/relationships/classificationlabels" Target="docMetadata/LabelInfo7.xml"/><Relationship Id="rId17" Type="http://schemas.microsoft.com/office/2020/02/relationships/classificationlabels" Target="docMetadata/LabelInfo12.xml"/><Relationship Id="rId33" Type="http://schemas.microsoft.com/office/2020/02/relationships/classificationlabels" Target="docMetadata/LabelInfo28.xml"/><Relationship Id="rId38" Type="http://schemas.microsoft.com/office/2020/02/relationships/classificationlabels" Target="docMetadata/LabelInfo34.xml"/><Relationship Id="rId54" Type="http://schemas.microsoft.com/office/2020/02/relationships/classificationlabels" Target="docMetadata/LabelInfo51.xml"/><Relationship Id="rId20" Type="http://schemas.microsoft.com/office/2020/02/relationships/classificationlabels" Target="docMetadata/LabelInfo15.xml"/><Relationship Id="rId41" Type="http://schemas.microsoft.com/office/2020/02/relationships/classificationlabels" Target="docMetadata/LabelInfo37.xml"/><Relationship Id="rId1" Type="http://schemas.openxmlformats.org/officeDocument/2006/relationships/officeDocument" Target="word/document.xml"/><Relationship Id="rId6" Type="http://schemas.microsoft.com/office/2020/02/relationships/classificationlabels" Target="docMetadata/LabelInfo1.xml"/><Relationship Id="rId57" Type="http://schemas.microsoft.com/office/2020/02/relationships/classificationlabels" Target="docMetadata/LabelInfo.xml"/><Relationship Id="rId23" Type="http://schemas.microsoft.com/office/2020/02/relationships/classificationlabels" Target="docMetadata/LabelInfo17.xml"/><Relationship Id="rId28" Type="http://schemas.microsoft.com/office/2020/02/relationships/classificationlabels" Target="docMetadata/LabelInfo23.xml"/><Relationship Id="rId15" Type="http://schemas.microsoft.com/office/2020/02/relationships/classificationlabels" Target="docMetadata/LabelInfo10.xml"/><Relationship Id="rId36" Type="http://schemas.microsoft.com/office/2020/02/relationships/classificationlabels" Target="docMetadata/LabelInfo30.xml"/><Relationship Id="rId49" Type="http://schemas.microsoft.com/office/2020/02/relationships/classificationlabels" Target="docMetadata/LabelInfo45.xml"/><Relationship Id="rId31" Type="http://schemas.microsoft.com/office/2020/02/relationships/classificationlabels" Target="docMetadata/LabelInfo25.xml"/><Relationship Id="rId10" Type="http://schemas.microsoft.com/office/2020/02/relationships/classificationlabels" Target="docMetadata/LabelInfo5.xml"/><Relationship Id="rId44" Type="http://schemas.microsoft.com/office/2020/02/relationships/classificationlabels" Target="docMetadata/LabelInfo40.xml"/><Relationship Id="rId52" Type="http://schemas.microsoft.com/office/2020/02/relationships/classificationlabels" Target="docMetadata/LabelInfo4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9242" w14:textId="3FCA769A" w:rsidR="00C81EEA" w:rsidRDefault="00E14EA9" w:rsidP="00C81EEA">
      <w:pPr>
        <w:pStyle w:val="Heading1"/>
        <w:ind w:left="-540" w:right="-450" w:firstLine="180"/>
      </w:pPr>
      <w:r>
        <w:rPr>
          <w:noProof/>
        </w:rPr>
        <mc:AlternateContent>
          <mc:Choice Requires="wps">
            <w:drawing>
              <wp:anchor distT="0" distB="0" distL="114300" distR="114300" simplePos="0" relativeHeight="251658240" behindDoc="0" locked="0" layoutInCell="1" allowOverlap="1" wp14:anchorId="69790665" wp14:editId="1C713DAC">
                <wp:simplePos x="0" y="0"/>
                <wp:positionH relativeFrom="column">
                  <wp:posOffset>4600575</wp:posOffset>
                </wp:positionH>
                <wp:positionV relativeFrom="paragraph">
                  <wp:posOffset>66713</wp:posOffset>
                </wp:positionV>
                <wp:extent cx="2027976" cy="1321806"/>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2027976" cy="1321806"/>
                        </a:xfrm>
                        <a:prstGeom prst="rect">
                          <a:avLst/>
                        </a:prstGeom>
                        <a:solidFill>
                          <a:schemeClr val="lt1"/>
                        </a:solidFill>
                        <a:ln w="6350">
                          <a:noFill/>
                        </a:ln>
                      </wps:spPr>
                      <wps:txbx>
                        <w:txbxContent>
                          <w:p w14:paraId="4E713546" w14:textId="4B1A6868" w:rsidR="007F6B94" w:rsidRPr="00AB0908" w:rsidRDefault="00B44C19" w:rsidP="00EE5E09">
                            <w:pPr>
                              <w:rPr>
                                <w:b/>
                                <w:bCs/>
                                <w:i/>
                                <w:iCs/>
                                <w:color w:val="3B3838" w:themeColor="background2" w:themeShade="40"/>
                              </w:rPr>
                            </w:pPr>
                            <w:r w:rsidRPr="00AB0908">
                              <w:rPr>
                                <w:b/>
                                <w:bCs/>
                                <w:i/>
                                <w:iCs/>
                                <w:color w:val="3B3838" w:themeColor="background2" w:themeShade="40"/>
                              </w:rPr>
                              <w:t>Table of C</w:t>
                            </w:r>
                            <w:r w:rsidR="007F6B94" w:rsidRPr="00AB0908">
                              <w:rPr>
                                <w:b/>
                                <w:bCs/>
                                <w:i/>
                                <w:iCs/>
                                <w:color w:val="3B3838" w:themeColor="background2" w:themeShade="40"/>
                              </w:rPr>
                              <w:t xml:space="preserve">ontents – Key Topics </w:t>
                            </w:r>
                          </w:p>
                          <w:p w14:paraId="3DACE6F5" w14:textId="3F9040E6" w:rsidR="007F6B94" w:rsidRPr="00AB0908" w:rsidRDefault="007F6B94" w:rsidP="00AB0908">
                            <w:pPr>
                              <w:pStyle w:val="ListParagraph"/>
                              <w:numPr>
                                <w:ilvl w:val="0"/>
                                <w:numId w:val="6"/>
                              </w:numPr>
                              <w:ind w:left="360" w:hanging="180"/>
                              <w:rPr>
                                <w:color w:val="3B3838" w:themeColor="background2" w:themeShade="40"/>
                              </w:rPr>
                            </w:pPr>
                            <w:r w:rsidRPr="00AB0908">
                              <w:rPr>
                                <w:color w:val="3B3838" w:themeColor="background2" w:themeShade="40"/>
                              </w:rPr>
                              <w:t>Investment thesis</w:t>
                            </w:r>
                          </w:p>
                          <w:p w14:paraId="29251DBE" w14:textId="66E3CB57" w:rsidR="007F6B94" w:rsidRPr="00AB0908" w:rsidRDefault="007F6B94" w:rsidP="00AB0908">
                            <w:pPr>
                              <w:pStyle w:val="ListParagraph"/>
                              <w:numPr>
                                <w:ilvl w:val="0"/>
                                <w:numId w:val="6"/>
                              </w:numPr>
                              <w:ind w:left="360" w:hanging="180"/>
                              <w:rPr>
                                <w:color w:val="3B3838" w:themeColor="background2" w:themeShade="40"/>
                              </w:rPr>
                            </w:pPr>
                            <w:r w:rsidRPr="00AB0908">
                              <w:rPr>
                                <w:color w:val="3B3838" w:themeColor="background2" w:themeShade="40"/>
                              </w:rPr>
                              <w:t>Valuation</w:t>
                            </w:r>
                          </w:p>
                          <w:p w14:paraId="37387258" w14:textId="7F85171E" w:rsidR="007F6B94" w:rsidRPr="00AB0908" w:rsidRDefault="00CE31B8" w:rsidP="00AB0908">
                            <w:pPr>
                              <w:pStyle w:val="ListParagraph"/>
                              <w:numPr>
                                <w:ilvl w:val="0"/>
                                <w:numId w:val="6"/>
                              </w:numPr>
                              <w:ind w:left="360" w:hanging="180"/>
                              <w:rPr>
                                <w:color w:val="3B3838" w:themeColor="background2" w:themeShade="40"/>
                              </w:rPr>
                            </w:pPr>
                            <w:r w:rsidRPr="00AB0908">
                              <w:rPr>
                                <w:color w:val="3B3838" w:themeColor="background2" w:themeShade="40"/>
                              </w:rPr>
                              <w:t>Risks</w:t>
                            </w:r>
                          </w:p>
                          <w:p w14:paraId="1352AE1C" w14:textId="2A1E562A" w:rsidR="00CE31B8" w:rsidRPr="00AB0908" w:rsidRDefault="00CE31B8" w:rsidP="00AB0908">
                            <w:pPr>
                              <w:pStyle w:val="ListParagraph"/>
                              <w:numPr>
                                <w:ilvl w:val="0"/>
                                <w:numId w:val="6"/>
                              </w:numPr>
                              <w:ind w:left="360" w:hanging="180"/>
                              <w:rPr>
                                <w:color w:val="3B3838" w:themeColor="background2" w:themeShade="40"/>
                              </w:rPr>
                            </w:pPr>
                            <w:r w:rsidRPr="00AB0908">
                              <w:rPr>
                                <w:color w:val="3B3838" w:themeColor="background2" w:themeShade="40"/>
                              </w:rPr>
                              <w:t>Management &amp; Board</w:t>
                            </w:r>
                          </w:p>
                          <w:p w14:paraId="266E940E" w14:textId="7C9B32D7" w:rsidR="00CE31B8" w:rsidRPr="00AB0908" w:rsidRDefault="00CE31B8" w:rsidP="00AB0908">
                            <w:pPr>
                              <w:pStyle w:val="ListParagraph"/>
                              <w:numPr>
                                <w:ilvl w:val="0"/>
                                <w:numId w:val="6"/>
                              </w:numPr>
                              <w:ind w:left="360" w:hanging="180"/>
                              <w:rPr>
                                <w:color w:val="3B3838" w:themeColor="background2" w:themeShade="40"/>
                              </w:rPr>
                            </w:pPr>
                            <w:r w:rsidRPr="00AB0908">
                              <w:rPr>
                                <w:color w:val="3B3838" w:themeColor="background2" w:themeShade="40"/>
                              </w:rPr>
                              <w:t>Peer Analysis</w:t>
                            </w:r>
                          </w:p>
                          <w:p w14:paraId="65F3E0F7" w14:textId="615C8889" w:rsidR="00CE31B8" w:rsidRPr="00AB0908" w:rsidRDefault="00CE31B8" w:rsidP="00AB0908">
                            <w:pPr>
                              <w:pStyle w:val="ListParagraph"/>
                              <w:numPr>
                                <w:ilvl w:val="0"/>
                                <w:numId w:val="6"/>
                              </w:numPr>
                              <w:ind w:left="360" w:hanging="180"/>
                              <w:rPr>
                                <w:color w:val="3B3838" w:themeColor="background2" w:themeShade="40"/>
                              </w:rPr>
                            </w:pPr>
                            <w:r w:rsidRPr="00AB0908">
                              <w:rPr>
                                <w:color w:val="3B3838" w:themeColor="background2" w:themeShade="40"/>
                              </w:rPr>
                              <w:t xml:space="preserve">Ownership of Shares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CDE222">
              <v:shapetype id="_x0000_t202" coordsize="21600,21600" o:spt="202" path="m,l,21600r21600,l21600,xe" w14:anchorId="69790665">
                <v:stroke joinstyle="miter"/>
                <v:path gradientshapeok="t" o:connecttype="rect"/>
              </v:shapetype>
              <v:shape id="Text Box 5" style="position:absolute;left:0;text-align:left;margin-left:362.25pt;margin-top:5.25pt;width:159.7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">
                <v:textbox>
                  <w:txbxContent>
                    <w:p w:rsidRPr="00AB0908" w:rsidR="007F6B94" w:rsidP="00EE5E09" w:rsidRDefault="00B44C19" w14:paraId="22AD5E0F" w14:textId="4B1A6868">
                      <w:pPr>
                        <w:rPr>
                          <w:b/>
                          <w:bCs/>
                          <w:i/>
                          <w:iCs/>
                          <w:color w:val="3B3838" w:themeColor="background2" w:themeShade="40"/>
                        </w:rPr>
                      </w:pPr>
                      <w:r w:rsidRPr="00AB0908">
                        <w:rPr>
                          <w:b/>
                          <w:bCs/>
                          <w:i/>
                          <w:iCs/>
                          <w:color w:val="3B3838" w:themeColor="background2" w:themeShade="40"/>
                        </w:rPr>
                        <w:t>Table of C</w:t>
                      </w:r>
                      <w:r w:rsidRPr="00AB0908" w:rsidR="007F6B94">
                        <w:rPr>
                          <w:b/>
                          <w:bCs/>
                          <w:i/>
                          <w:iCs/>
                          <w:color w:val="3B3838" w:themeColor="background2" w:themeShade="40"/>
                        </w:rPr>
                        <w:t xml:space="preserve">ontents – Key Topics </w:t>
                      </w:r>
                    </w:p>
                    <w:p w:rsidRPr="00AB0908" w:rsidR="007F6B94" w:rsidP="00AB0908" w:rsidRDefault="007F6B94" w14:paraId="5C0374CE" w14:textId="3F9040E6">
                      <w:pPr>
                        <w:pStyle w:val="ListParagraph"/>
                        <w:numPr>
                          <w:ilvl w:val="0"/>
                          <w:numId w:val="6"/>
                        </w:numPr>
                        <w:ind w:left="360" w:hanging="180"/>
                        <w:rPr>
                          <w:color w:val="3B3838" w:themeColor="background2" w:themeShade="40"/>
                        </w:rPr>
                      </w:pPr>
                      <w:r w:rsidRPr="00AB0908">
                        <w:rPr>
                          <w:color w:val="3B3838" w:themeColor="background2" w:themeShade="40"/>
                        </w:rPr>
                        <w:t>Investment thesis</w:t>
                      </w:r>
                    </w:p>
                    <w:p w:rsidRPr="00AB0908" w:rsidR="007F6B94" w:rsidP="00AB0908" w:rsidRDefault="007F6B94" w14:paraId="3B827731" w14:textId="66E3CB57">
                      <w:pPr>
                        <w:pStyle w:val="ListParagraph"/>
                        <w:numPr>
                          <w:ilvl w:val="0"/>
                          <w:numId w:val="6"/>
                        </w:numPr>
                        <w:ind w:left="360" w:hanging="180"/>
                        <w:rPr>
                          <w:color w:val="3B3838" w:themeColor="background2" w:themeShade="40"/>
                        </w:rPr>
                      </w:pPr>
                      <w:r w:rsidRPr="00AB0908">
                        <w:rPr>
                          <w:color w:val="3B3838" w:themeColor="background2" w:themeShade="40"/>
                        </w:rPr>
                        <w:t>Valuation</w:t>
                      </w:r>
                    </w:p>
                    <w:p w:rsidRPr="00AB0908" w:rsidR="007F6B94" w:rsidP="00AB0908" w:rsidRDefault="00CE31B8" w14:paraId="7959E11D" w14:textId="7F85171E">
                      <w:pPr>
                        <w:pStyle w:val="ListParagraph"/>
                        <w:numPr>
                          <w:ilvl w:val="0"/>
                          <w:numId w:val="6"/>
                        </w:numPr>
                        <w:ind w:left="360" w:hanging="180"/>
                        <w:rPr>
                          <w:color w:val="3B3838" w:themeColor="background2" w:themeShade="40"/>
                        </w:rPr>
                      </w:pPr>
                      <w:r w:rsidRPr="00AB0908">
                        <w:rPr>
                          <w:color w:val="3B3838" w:themeColor="background2" w:themeShade="40"/>
                        </w:rPr>
                        <w:t>Risks</w:t>
                      </w:r>
                    </w:p>
                    <w:p w:rsidRPr="00AB0908" w:rsidR="00CE31B8" w:rsidP="00AB0908" w:rsidRDefault="00CE31B8" w14:paraId="14B5D64A" w14:textId="2A1E562A">
                      <w:pPr>
                        <w:pStyle w:val="ListParagraph"/>
                        <w:numPr>
                          <w:ilvl w:val="0"/>
                          <w:numId w:val="6"/>
                        </w:numPr>
                        <w:ind w:left="360" w:hanging="180"/>
                        <w:rPr>
                          <w:color w:val="3B3838" w:themeColor="background2" w:themeShade="40"/>
                        </w:rPr>
                      </w:pPr>
                      <w:r w:rsidRPr="00AB0908">
                        <w:rPr>
                          <w:color w:val="3B3838" w:themeColor="background2" w:themeShade="40"/>
                        </w:rPr>
                        <w:t>Management &amp; Board</w:t>
                      </w:r>
                    </w:p>
                    <w:p w:rsidRPr="00AB0908" w:rsidR="00CE31B8" w:rsidP="00AB0908" w:rsidRDefault="00CE31B8" w14:paraId="2F37E3F8" w14:textId="7C9B32D7">
                      <w:pPr>
                        <w:pStyle w:val="ListParagraph"/>
                        <w:numPr>
                          <w:ilvl w:val="0"/>
                          <w:numId w:val="6"/>
                        </w:numPr>
                        <w:ind w:left="360" w:hanging="180"/>
                        <w:rPr>
                          <w:color w:val="3B3838" w:themeColor="background2" w:themeShade="40"/>
                        </w:rPr>
                      </w:pPr>
                      <w:r w:rsidRPr="00AB0908">
                        <w:rPr>
                          <w:color w:val="3B3838" w:themeColor="background2" w:themeShade="40"/>
                        </w:rPr>
                        <w:t>Peer Analysis</w:t>
                      </w:r>
                    </w:p>
                    <w:p w:rsidRPr="00AB0908" w:rsidR="00CE31B8" w:rsidP="00AB0908" w:rsidRDefault="00CE31B8" w14:paraId="32B8E2A9" w14:textId="615C8889">
                      <w:pPr>
                        <w:pStyle w:val="ListParagraph"/>
                        <w:numPr>
                          <w:ilvl w:val="0"/>
                          <w:numId w:val="6"/>
                        </w:numPr>
                        <w:ind w:left="360" w:hanging="180"/>
                        <w:rPr>
                          <w:color w:val="3B3838" w:themeColor="background2" w:themeShade="40"/>
                        </w:rPr>
                      </w:pPr>
                      <w:r w:rsidRPr="00AB0908">
                        <w:rPr>
                          <w:color w:val="3B3838" w:themeColor="background2" w:themeShade="40"/>
                        </w:rPr>
                        <w:t xml:space="preserve">Ownership of Shares </w:t>
                      </w:r>
                    </w:p>
                  </w:txbxContent>
                </v:textbox>
              </v:shape>
            </w:pict>
          </mc:Fallback>
        </mc:AlternateContent>
      </w:r>
      <w:r w:rsidR="001A4407">
        <w:rPr>
          <w:noProof/>
        </w:rPr>
        <mc:AlternateContent>
          <mc:Choice Requires="wps">
            <w:drawing>
              <wp:anchor distT="0" distB="0" distL="114300" distR="114300" simplePos="0" relativeHeight="251658241" behindDoc="0" locked="0" layoutInCell="1" allowOverlap="1" wp14:anchorId="528E369E" wp14:editId="5E3D48DD">
                <wp:simplePos x="0" y="0"/>
                <wp:positionH relativeFrom="column">
                  <wp:posOffset>1686208</wp:posOffset>
                </wp:positionH>
                <wp:positionV relativeFrom="paragraph">
                  <wp:posOffset>-6111</wp:posOffset>
                </wp:positionV>
                <wp:extent cx="2570863" cy="1448554"/>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0863" cy="1448554"/>
                        </a:xfrm>
                        <a:prstGeom prst="rect">
                          <a:avLst/>
                        </a:prstGeom>
                        <a:solidFill>
                          <a:schemeClr val="lt1"/>
                        </a:solidFill>
                        <a:ln w="6350">
                          <a:noFill/>
                        </a:ln>
                      </wps:spPr>
                      <wps:txbx>
                        <w:txbxContent>
                          <w:p w14:paraId="54225515" w14:textId="306C07D3" w:rsidR="001A4407" w:rsidRPr="007357EF" w:rsidRDefault="001A4407" w:rsidP="00E36DDC">
                            <w:pPr>
                              <w:jc w:val="center"/>
                              <w:rPr>
                                <w:b/>
                                <w:bCs/>
                                <w:sz w:val="28"/>
                                <w:szCs w:val="28"/>
                                <w:u w:val="single"/>
                              </w:rPr>
                            </w:pPr>
                            <w:r w:rsidRPr="007357EF">
                              <w:rPr>
                                <w:b/>
                                <w:bCs/>
                                <w:sz w:val="28"/>
                                <w:szCs w:val="28"/>
                                <w:u w:val="single"/>
                              </w:rPr>
                              <w:t>Merck &amp; Co. (MRK)</w:t>
                            </w:r>
                          </w:p>
                          <w:p w14:paraId="62ADC87F" w14:textId="33D81682" w:rsidR="00383C2B" w:rsidRDefault="0055774C">
                            <w:r>
                              <w:t>Intrinsic Value</w:t>
                            </w:r>
                            <w:r w:rsidR="00E36DDC">
                              <w:t>:</w:t>
                            </w:r>
                            <w:r w:rsidR="00383C2B">
                              <w:tab/>
                            </w:r>
                            <w:r w:rsidR="00383C2B">
                              <w:tab/>
                              <w:t>$105.</w:t>
                            </w:r>
                            <w:r w:rsidR="00A53065">
                              <w:t>84</w:t>
                            </w:r>
                            <w:r w:rsidR="007F2DA0">
                              <w:t xml:space="preserve"> </w:t>
                            </w:r>
                            <w:r w:rsidR="000B1F97">
                              <w:tab/>
                            </w:r>
                          </w:p>
                          <w:p w14:paraId="45D7877B" w14:textId="66AA437F" w:rsidR="001A4407" w:rsidRDefault="00383C2B">
                            <w:r>
                              <w:t xml:space="preserve">Market </w:t>
                            </w:r>
                            <w:r w:rsidR="0055774C">
                              <w:t>Value</w:t>
                            </w:r>
                            <w:r>
                              <w:t>:</w:t>
                            </w:r>
                            <w:r w:rsidR="000B1F97">
                              <w:tab/>
                            </w:r>
                            <w:r>
                              <w:tab/>
                            </w:r>
                            <w:r w:rsidR="00111186">
                              <w:t>$76.09</w:t>
                            </w:r>
                          </w:p>
                          <w:p w14:paraId="6CDDF579" w14:textId="489ABDA8" w:rsidR="001A1F84" w:rsidRDefault="001A1F84">
                            <w:r>
                              <w:t>52 Week Range</w:t>
                            </w:r>
                            <w:r w:rsidR="00E36DDC">
                              <w:t>:</w:t>
                            </w:r>
                            <w:r w:rsidR="00111186">
                              <w:t xml:space="preserve"> </w:t>
                            </w:r>
                            <w:r w:rsidR="000B1F97">
                              <w:tab/>
                            </w:r>
                            <w:r w:rsidR="00111186">
                              <w:t>$65.25 - $92.64</w:t>
                            </w:r>
                          </w:p>
                          <w:p w14:paraId="4117F2EC" w14:textId="5C8B4AF8" w:rsidR="001A1F84" w:rsidRDefault="001A1F84">
                            <w:r>
                              <w:t>Market Cap</w:t>
                            </w:r>
                            <w:r w:rsidR="00111186">
                              <w:t xml:space="preserve"> (B)</w:t>
                            </w:r>
                            <w:r w:rsidR="00E36DDC">
                              <w:t>:</w:t>
                            </w:r>
                            <w:r w:rsidR="00111186">
                              <w:t xml:space="preserve"> </w:t>
                            </w:r>
                            <w:r w:rsidR="000B1F97">
                              <w:tab/>
                            </w:r>
                            <w:r w:rsidR="00111186">
                              <w:t>190.2</w:t>
                            </w:r>
                          </w:p>
                          <w:p w14:paraId="185114F7" w14:textId="66C7FF1B" w:rsidR="00E95F11" w:rsidRDefault="00E95F11">
                            <w:r>
                              <w:t>Div</w:t>
                            </w:r>
                            <w:r w:rsidR="007F2DA0">
                              <w:t>idend</w:t>
                            </w:r>
                            <w:r>
                              <w:t xml:space="preserve"> </w:t>
                            </w:r>
                            <w:r w:rsidR="007F2DA0">
                              <w:t>Y</w:t>
                            </w:r>
                            <w:r>
                              <w:t>ield</w:t>
                            </w:r>
                            <w:r w:rsidR="00E36DDC">
                              <w:t>:</w:t>
                            </w:r>
                            <w:r w:rsidR="00111186">
                              <w:t xml:space="preserve"> </w:t>
                            </w:r>
                            <w:r w:rsidR="000B1F97">
                              <w:tab/>
                            </w:r>
                            <w:r w:rsidR="000B1F97">
                              <w:tab/>
                            </w:r>
                            <w:r w:rsidR="0029625E">
                              <w:t>3.2</w:t>
                            </w:r>
                            <w:r w:rsidR="0011049C">
                              <w:t>%</w:t>
                            </w:r>
                          </w:p>
                          <w:p w14:paraId="051446B4" w14:textId="61C3D24C" w:rsidR="00E95F11" w:rsidRDefault="00BB630F">
                            <w:r>
                              <w:t xml:space="preserve">52 Week </w:t>
                            </w:r>
                            <w:r w:rsidR="00045101">
                              <w:t>Beta:</w:t>
                            </w:r>
                            <w:r w:rsidR="00045101">
                              <w:tab/>
                            </w:r>
                            <w:r w:rsidR="00045101">
                              <w:tab/>
                            </w:r>
                            <w:r>
                              <w:t>0.51</w:t>
                            </w:r>
                            <w:r w:rsidR="00045101">
                              <w:tab/>
                            </w:r>
                            <w:r w:rsidR="000B1F97">
                              <w:tab/>
                            </w:r>
                            <w:r w:rsidR="000B1F97">
                              <w:tab/>
                            </w:r>
                            <w:r w:rsidR="000B1F97">
                              <w:tab/>
                            </w:r>
                          </w:p>
                          <w:p w14:paraId="4604B3F6" w14:textId="5B21F1B3" w:rsidR="007F2DA0" w:rsidRDefault="000D2F47">
                            <w:r>
                              <w:t xml:space="preserve"> </w:t>
                            </w:r>
                            <w:r w:rsidR="000B1F97">
                              <w:tab/>
                            </w:r>
                            <w:r w:rsidR="000B1F97">
                              <w:tab/>
                            </w:r>
                            <w:r w:rsidR="000B1F9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7E6BB54">
              <v:shape id="Text Box 6" style="position:absolute;left:0;text-align:left;margin-left:132.75pt;margin-top:-.5pt;width:202.45pt;height:11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" w14:anchorId="528E369E">
                <v:textbox>
                  <w:txbxContent>
                    <w:p w:rsidRPr="007357EF" w:rsidR="001A4407" w:rsidP="00E36DDC" w:rsidRDefault="001A4407" w14:paraId="3ADAC6AE" w14:textId="306C07D3">
                      <w:pPr>
                        <w:jc w:val="center"/>
                        <w:rPr>
                          <w:b/>
                          <w:bCs/>
                          <w:sz w:val="28"/>
                          <w:szCs w:val="28"/>
                          <w:u w:val="single"/>
                        </w:rPr>
                      </w:pPr>
                      <w:r w:rsidRPr="007357EF">
                        <w:rPr>
                          <w:b/>
                          <w:bCs/>
                          <w:sz w:val="28"/>
                          <w:szCs w:val="28"/>
                          <w:u w:val="single"/>
                        </w:rPr>
                        <w:t>Merck &amp; Co. (MRK)</w:t>
                      </w:r>
                    </w:p>
                    <w:p w:rsidR="00383C2B" w:rsidRDefault="0055774C" w14:paraId="25FF849B" w14:textId="33D81682">
                      <w:r>
                        <w:t>Intrinsic Value</w:t>
                      </w:r>
                      <w:r w:rsidR="00E36DDC">
                        <w:t>:</w:t>
                      </w:r>
                      <w:r w:rsidR="00383C2B">
                        <w:tab/>
                      </w:r>
                      <w:r w:rsidR="00383C2B">
                        <w:tab/>
                      </w:r>
                      <w:r w:rsidR="00383C2B">
                        <w:t>$105.</w:t>
                      </w:r>
                      <w:r w:rsidR="00A53065">
                        <w:t>84</w:t>
                      </w:r>
                      <w:r w:rsidR="007F2DA0">
                        <w:t xml:space="preserve"> </w:t>
                      </w:r>
                      <w:r w:rsidR="000B1F97">
                        <w:tab/>
                      </w:r>
                    </w:p>
                    <w:p w:rsidR="001A4407" w:rsidRDefault="00383C2B" w14:paraId="63578504" w14:textId="66AA437F">
                      <w:r>
                        <w:t xml:space="preserve">Market </w:t>
                      </w:r>
                      <w:r w:rsidR="0055774C">
                        <w:t>Value</w:t>
                      </w:r>
                      <w:r>
                        <w:t>:</w:t>
                      </w:r>
                      <w:r w:rsidR="000B1F97">
                        <w:tab/>
                      </w:r>
                      <w:r>
                        <w:tab/>
                      </w:r>
                      <w:r w:rsidR="00111186">
                        <w:t>$76.09</w:t>
                      </w:r>
                    </w:p>
                    <w:p w:rsidR="001A1F84" w:rsidRDefault="001A1F84" w14:paraId="2F0BA798" w14:textId="489ABDA8">
                      <w:r>
                        <w:t>52 Week Range</w:t>
                      </w:r>
                      <w:r w:rsidR="00E36DDC">
                        <w:t>:</w:t>
                      </w:r>
                      <w:r w:rsidR="00111186">
                        <w:t xml:space="preserve"> </w:t>
                      </w:r>
                      <w:r w:rsidR="000B1F97">
                        <w:tab/>
                      </w:r>
                      <w:r w:rsidR="00111186">
                        <w:t>$65.25 - $92.64</w:t>
                      </w:r>
                    </w:p>
                    <w:p w:rsidR="001A1F84" w:rsidRDefault="001A1F84" w14:paraId="77C4E0F1" w14:textId="5C8B4AF8">
                      <w:r>
                        <w:t>Market Cap</w:t>
                      </w:r>
                      <w:r w:rsidR="00111186">
                        <w:t xml:space="preserve"> (B)</w:t>
                      </w:r>
                      <w:r w:rsidR="00E36DDC">
                        <w:t>:</w:t>
                      </w:r>
                      <w:r w:rsidR="00111186">
                        <w:t xml:space="preserve"> </w:t>
                      </w:r>
                      <w:r w:rsidR="000B1F97">
                        <w:tab/>
                      </w:r>
                      <w:r w:rsidR="00111186">
                        <w:t>190.2</w:t>
                      </w:r>
                    </w:p>
                    <w:p w:rsidR="00E95F11" w:rsidRDefault="00E95F11" w14:paraId="1EE3B3BF" w14:textId="66C7FF1B">
                      <w:r>
                        <w:t>Div</w:t>
                      </w:r>
                      <w:r w:rsidR="007F2DA0">
                        <w:t>idend</w:t>
                      </w:r>
                      <w:r>
                        <w:t xml:space="preserve"> </w:t>
                      </w:r>
                      <w:r w:rsidR="007F2DA0">
                        <w:t>Y</w:t>
                      </w:r>
                      <w:r>
                        <w:t>ield</w:t>
                      </w:r>
                      <w:r w:rsidR="00E36DDC">
                        <w:t>:</w:t>
                      </w:r>
                      <w:r w:rsidR="00111186">
                        <w:t xml:space="preserve"> </w:t>
                      </w:r>
                      <w:r w:rsidR="000B1F97">
                        <w:tab/>
                      </w:r>
                      <w:r w:rsidR="000B1F97">
                        <w:tab/>
                      </w:r>
                      <w:r w:rsidR="0029625E">
                        <w:t>3.2</w:t>
                      </w:r>
                      <w:r w:rsidR="0011049C">
                        <w:t>%</w:t>
                      </w:r>
                    </w:p>
                    <w:p w:rsidR="00E95F11" w:rsidRDefault="00BB630F" w14:paraId="75F510E7" w14:textId="61C3D24C">
                      <w:r>
                        <w:t xml:space="preserve">52 Week </w:t>
                      </w:r>
                      <w:r w:rsidR="00045101">
                        <w:t>Beta:</w:t>
                      </w:r>
                      <w:r w:rsidR="00045101">
                        <w:tab/>
                      </w:r>
                      <w:r w:rsidR="00045101">
                        <w:tab/>
                      </w:r>
                      <w:r>
                        <w:t>0.51</w:t>
                      </w:r>
                      <w:r w:rsidR="00045101">
                        <w:tab/>
                      </w:r>
                      <w:r w:rsidR="000B1F97">
                        <w:tab/>
                      </w:r>
                      <w:r w:rsidR="000B1F97">
                        <w:tab/>
                      </w:r>
                      <w:r w:rsidR="000B1F97">
                        <w:tab/>
                      </w:r>
                    </w:p>
                    <w:p w:rsidR="007F2DA0" w:rsidRDefault="000D2F47" w14:paraId="29D6B04F" w14:textId="5B21F1B3">
                      <w:r>
                        <w:t xml:space="preserve"> </w:t>
                      </w:r>
                      <w:r w:rsidR="000B1F97">
                        <w:tab/>
                      </w:r>
                      <w:r w:rsidR="000B1F97">
                        <w:tab/>
                      </w:r>
                      <w:r w:rsidR="000B1F97">
                        <w:tab/>
                      </w:r>
                    </w:p>
                  </w:txbxContent>
                </v:textbox>
              </v:shape>
            </w:pict>
          </mc:Fallback>
        </mc:AlternateContent>
      </w:r>
      <w:r w:rsidR="00C81EEA">
        <w:rPr>
          <w:noProof/>
        </w:rPr>
        <w:drawing>
          <wp:inline distT="0" distB="0" distL="0" distR="0" wp14:anchorId="78C7F08E" wp14:editId="00F6B8AF">
            <wp:extent cx="896293" cy="896293"/>
            <wp:effectExtent l="0" t="0" r="5715" b="571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293" cy="896293"/>
                    </a:xfrm>
                    <a:prstGeom prst="rect">
                      <a:avLst/>
                    </a:prstGeom>
                  </pic:spPr>
                </pic:pic>
              </a:graphicData>
            </a:graphic>
          </wp:inline>
        </w:drawing>
      </w:r>
    </w:p>
    <w:p w14:paraId="0EB4553F" w14:textId="0D02914B" w:rsidR="009260BC" w:rsidRPr="005F1B51" w:rsidRDefault="009260BC" w:rsidP="009260BC">
      <w:pPr>
        <w:pStyle w:val="Heading1"/>
        <w:ind w:left="-540" w:right="-450"/>
      </w:pPr>
      <w:r>
        <w:t xml:space="preserve">Introduction </w:t>
      </w:r>
    </w:p>
    <w:p w14:paraId="3737042A" w14:textId="51B482D3" w:rsidR="009260BC" w:rsidRDefault="009260BC" w:rsidP="009260BC">
      <w:pPr>
        <w:ind w:left="-540" w:right="-450"/>
        <w:rPr>
          <w:i/>
          <w:iCs/>
          <w:color w:val="808080" w:themeColor="background1" w:themeShade="80"/>
        </w:rPr>
      </w:pPr>
      <w:r w:rsidRPr="00857458">
        <w:rPr>
          <w:i/>
          <w:iCs/>
          <w:color w:val="808080" w:themeColor="background1" w:themeShade="80"/>
        </w:rPr>
        <w:t xml:space="preserve">Prepared </w:t>
      </w:r>
      <w:r w:rsidR="003B73B2" w:rsidRPr="00857458">
        <w:rPr>
          <w:i/>
          <w:iCs/>
          <w:color w:val="808080" w:themeColor="background1" w:themeShade="80"/>
        </w:rPr>
        <w:t>by</w:t>
      </w:r>
      <w:r w:rsidRPr="00857458">
        <w:rPr>
          <w:i/>
          <w:iCs/>
          <w:color w:val="808080" w:themeColor="background1" w:themeShade="80"/>
        </w:rPr>
        <w:t xml:space="preserve"> Jake Fuhr &amp; Conner </w:t>
      </w:r>
      <w:proofErr w:type="gramStart"/>
      <w:r w:rsidRPr="00857458">
        <w:rPr>
          <w:i/>
          <w:iCs/>
          <w:color w:val="808080" w:themeColor="background1" w:themeShade="80"/>
        </w:rPr>
        <w:t>Klein</w:t>
      </w:r>
      <w:r w:rsidR="004A7945">
        <w:rPr>
          <w:i/>
          <w:iCs/>
          <w:color w:val="808080" w:themeColor="background1" w:themeShade="80"/>
        </w:rPr>
        <w:t xml:space="preserve"> </w:t>
      </w:r>
      <w:r w:rsidR="2917C738" w:rsidRPr="2208CEAD">
        <w:rPr>
          <w:i/>
          <w:iCs/>
          <w:color w:val="808080" w:themeColor="background1" w:themeShade="80"/>
        </w:rPr>
        <w:t xml:space="preserve"> </w:t>
      </w:r>
      <w:r>
        <w:rPr>
          <w:i/>
          <w:iCs/>
          <w:color w:val="808080" w:themeColor="background1" w:themeShade="80"/>
        </w:rPr>
        <w:tab/>
      </w:r>
      <w:proofErr w:type="gramEnd"/>
      <w:r>
        <w:rPr>
          <w:i/>
          <w:iCs/>
          <w:color w:val="808080" w:themeColor="background1" w:themeShade="80"/>
        </w:rPr>
        <w:tab/>
      </w:r>
      <w:r>
        <w:rPr>
          <w:i/>
          <w:iCs/>
          <w:color w:val="808080" w:themeColor="background1" w:themeShade="80"/>
        </w:rPr>
        <w:tab/>
      </w:r>
      <w:r>
        <w:rPr>
          <w:i/>
          <w:iCs/>
          <w:color w:val="808080" w:themeColor="background1" w:themeShade="80"/>
        </w:rPr>
        <w:tab/>
      </w:r>
      <w:r>
        <w:rPr>
          <w:i/>
          <w:iCs/>
          <w:color w:val="808080" w:themeColor="background1" w:themeShade="80"/>
        </w:rPr>
        <w:tab/>
      </w:r>
      <w:r>
        <w:rPr>
          <w:i/>
          <w:iCs/>
          <w:color w:val="808080" w:themeColor="background1" w:themeShade="80"/>
        </w:rPr>
        <w:tab/>
      </w:r>
      <w:r>
        <w:rPr>
          <w:i/>
          <w:iCs/>
          <w:color w:val="808080" w:themeColor="background1" w:themeShade="80"/>
        </w:rPr>
        <w:tab/>
      </w:r>
      <w:r w:rsidRPr="00857458">
        <w:rPr>
          <w:i/>
          <w:iCs/>
          <w:color w:val="808080" w:themeColor="background1" w:themeShade="80"/>
        </w:rPr>
        <w:t>Senior Analyst: Nate Zeller</w:t>
      </w:r>
    </w:p>
    <w:p w14:paraId="39C9A97A" w14:textId="4036FCB6" w:rsidR="00714CCD" w:rsidRDefault="4A08566F" w:rsidP="009260BC">
      <w:pPr>
        <w:ind w:left="-540" w:right="-450"/>
        <w:rPr>
          <w:color w:val="000000" w:themeColor="text1"/>
        </w:rPr>
      </w:pPr>
      <w:r w:rsidRPr="774E1A59">
        <w:rPr>
          <w:color w:val="000000" w:themeColor="text1"/>
        </w:rPr>
        <w:t xml:space="preserve">Merck &amp; Co. </w:t>
      </w:r>
      <w:r w:rsidR="3B681143" w:rsidRPr="774E1A59">
        <w:rPr>
          <w:color w:val="000000" w:themeColor="text1"/>
        </w:rPr>
        <w:t xml:space="preserve">– MRK – is </w:t>
      </w:r>
      <w:r w:rsidR="70B12324" w:rsidRPr="774E1A59">
        <w:rPr>
          <w:color w:val="000000" w:themeColor="text1"/>
        </w:rPr>
        <w:t xml:space="preserve">a large </w:t>
      </w:r>
      <w:r w:rsidR="0DDBE62C" w:rsidRPr="774E1A59">
        <w:rPr>
          <w:color w:val="000000" w:themeColor="text1"/>
        </w:rPr>
        <w:t>multinational company with a market</w:t>
      </w:r>
      <w:r w:rsidR="742C8D6E" w:rsidRPr="774E1A59">
        <w:rPr>
          <w:color w:val="000000" w:themeColor="text1"/>
        </w:rPr>
        <w:t xml:space="preserve"> </w:t>
      </w:r>
      <w:r w:rsidR="0DDBE62C" w:rsidRPr="774E1A59">
        <w:rPr>
          <w:color w:val="000000" w:themeColor="text1"/>
        </w:rPr>
        <w:t>cap</w:t>
      </w:r>
      <w:r w:rsidR="0DB3C7DC" w:rsidRPr="774E1A59">
        <w:rPr>
          <w:color w:val="000000" w:themeColor="text1"/>
        </w:rPr>
        <w:t xml:space="preserve"> (B)</w:t>
      </w:r>
      <w:r w:rsidR="0DDBE62C" w:rsidRPr="774E1A59">
        <w:rPr>
          <w:color w:val="000000" w:themeColor="text1"/>
        </w:rPr>
        <w:t xml:space="preserve"> of </w:t>
      </w:r>
      <w:r w:rsidR="58D045EF" w:rsidRPr="774E1A59">
        <w:rPr>
          <w:color w:val="000000" w:themeColor="text1"/>
        </w:rPr>
        <w:t>$190.2</w:t>
      </w:r>
      <w:r w:rsidR="0DB3C7DC" w:rsidRPr="774E1A59">
        <w:rPr>
          <w:color w:val="000000" w:themeColor="text1"/>
        </w:rPr>
        <w:t xml:space="preserve">. Merck </w:t>
      </w:r>
      <w:r w:rsidR="70B12324" w:rsidRPr="774E1A59">
        <w:rPr>
          <w:color w:val="000000" w:themeColor="text1"/>
        </w:rPr>
        <w:t>operat</w:t>
      </w:r>
      <w:r w:rsidR="0DB3C7DC" w:rsidRPr="774E1A59">
        <w:rPr>
          <w:color w:val="000000" w:themeColor="text1"/>
        </w:rPr>
        <w:t xml:space="preserve">es </w:t>
      </w:r>
      <w:r w:rsidR="70B12324" w:rsidRPr="774E1A59">
        <w:rPr>
          <w:color w:val="000000" w:themeColor="text1"/>
        </w:rPr>
        <w:t>i</w:t>
      </w:r>
      <w:r w:rsidR="73E5BDF7" w:rsidRPr="774E1A59">
        <w:rPr>
          <w:color w:val="000000" w:themeColor="text1"/>
        </w:rPr>
        <w:t>n four main segments: Pharmaceutical, Animal Health, Health</w:t>
      </w:r>
      <w:r w:rsidR="77E139B3" w:rsidRPr="774E1A59">
        <w:rPr>
          <w:color w:val="000000" w:themeColor="text1"/>
        </w:rPr>
        <w:t xml:space="preserve"> C</w:t>
      </w:r>
      <w:r w:rsidR="73E5BDF7" w:rsidRPr="774E1A59">
        <w:rPr>
          <w:color w:val="000000" w:themeColor="text1"/>
        </w:rPr>
        <w:t>are Services, and Alliances.</w:t>
      </w:r>
      <w:r w:rsidR="0DB3C7DC" w:rsidRPr="774E1A59">
        <w:rPr>
          <w:color w:val="000000" w:themeColor="text1"/>
        </w:rPr>
        <w:t xml:space="preserve"> The largest being </w:t>
      </w:r>
      <w:r w:rsidR="395ACCD8" w:rsidRPr="774E1A59">
        <w:rPr>
          <w:color w:val="000000" w:themeColor="text1"/>
        </w:rPr>
        <w:t>p</w:t>
      </w:r>
      <w:r w:rsidR="0DB3C7DC" w:rsidRPr="774E1A59">
        <w:rPr>
          <w:color w:val="000000" w:themeColor="text1"/>
        </w:rPr>
        <w:t>harmaceutical which makes up 90</w:t>
      </w:r>
      <w:r w:rsidR="395ACCD8" w:rsidRPr="774E1A59">
        <w:rPr>
          <w:color w:val="000000" w:themeColor="text1"/>
        </w:rPr>
        <w:t xml:space="preserve">% of their revenue. </w:t>
      </w:r>
      <w:r w:rsidR="28B8BC06" w:rsidRPr="774E1A59">
        <w:rPr>
          <w:color w:val="000000" w:themeColor="text1"/>
        </w:rPr>
        <w:t>The broad</w:t>
      </w:r>
      <w:r w:rsidR="1BB53CFE" w:rsidRPr="774E1A59">
        <w:rPr>
          <w:color w:val="000000" w:themeColor="text1"/>
        </w:rPr>
        <w:t xml:space="preserve">, </w:t>
      </w:r>
      <w:r w:rsidR="28B8BC06" w:rsidRPr="774E1A59">
        <w:rPr>
          <w:color w:val="000000" w:themeColor="text1"/>
        </w:rPr>
        <w:t>well developed</w:t>
      </w:r>
      <w:r w:rsidR="1BB53CFE" w:rsidRPr="774E1A59">
        <w:rPr>
          <w:color w:val="000000" w:themeColor="text1"/>
        </w:rPr>
        <w:t>, and marketed</w:t>
      </w:r>
      <w:r w:rsidR="28B8BC06" w:rsidRPr="774E1A59">
        <w:rPr>
          <w:color w:val="000000" w:themeColor="text1"/>
        </w:rPr>
        <w:t xml:space="preserve"> pharmaceutical portfolio has</w:t>
      </w:r>
      <w:r w:rsidR="1BB53CFE" w:rsidRPr="774E1A59">
        <w:rPr>
          <w:color w:val="000000" w:themeColor="text1"/>
        </w:rPr>
        <w:t xml:space="preserve"> </w:t>
      </w:r>
      <w:r w:rsidR="03D5E14C" w:rsidRPr="774E1A59">
        <w:rPr>
          <w:color w:val="000000" w:themeColor="text1"/>
        </w:rPr>
        <w:t>products in oncology treatment, vaccines, diabetes,</w:t>
      </w:r>
      <w:r w:rsidR="53DEBD8E" w:rsidRPr="774E1A59">
        <w:rPr>
          <w:color w:val="000000" w:themeColor="text1"/>
        </w:rPr>
        <w:t xml:space="preserve"> hospital acute care, diversified brands, cardiovascular, women</w:t>
      </w:r>
      <w:r w:rsidR="65E512D5" w:rsidRPr="774E1A59">
        <w:rPr>
          <w:color w:val="000000" w:themeColor="text1"/>
        </w:rPr>
        <w:t xml:space="preserve">’s health, virology, immunology, and neuroscience. </w:t>
      </w:r>
      <w:r w:rsidR="786C280B" w:rsidRPr="774E1A59">
        <w:rPr>
          <w:color w:val="000000" w:themeColor="text1"/>
        </w:rPr>
        <w:t>N</w:t>
      </w:r>
      <w:r w:rsidR="65E512D5" w:rsidRPr="774E1A59">
        <w:rPr>
          <w:color w:val="000000" w:themeColor="text1"/>
        </w:rPr>
        <w:t xml:space="preserve">otable products include </w:t>
      </w:r>
      <w:r w:rsidR="23F62D09" w:rsidRPr="774E1A59">
        <w:rPr>
          <w:color w:val="000000" w:themeColor="text1"/>
        </w:rPr>
        <w:t>Keytruda – the market</w:t>
      </w:r>
      <w:r w:rsidR="7481427F" w:rsidRPr="774E1A59">
        <w:rPr>
          <w:color w:val="000000" w:themeColor="text1"/>
        </w:rPr>
        <w:t>’</w:t>
      </w:r>
      <w:r w:rsidR="23F62D09" w:rsidRPr="774E1A59">
        <w:rPr>
          <w:color w:val="000000" w:themeColor="text1"/>
        </w:rPr>
        <w:t xml:space="preserve">s most widely used cancer treatment drug, </w:t>
      </w:r>
      <w:r w:rsidR="175F1B0B" w:rsidRPr="774E1A59">
        <w:rPr>
          <w:color w:val="000000" w:themeColor="text1"/>
        </w:rPr>
        <w:t xml:space="preserve">Januvia and Janumet – </w:t>
      </w:r>
      <w:r w:rsidR="76BB71F8" w:rsidRPr="774E1A59">
        <w:rPr>
          <w:color w:val="000000" w:themeColor="text1"/>
        </w:rPr>
        <w:t>growing diabetes</w:t>
      </w:r>
      <w:r w:rsidR="175F1B0B" w:rsidRPr="774E1A59">
        <w:rPr>
          <w:color w:val="000000" w:themeColor="text1"/>
        </w:rPr>
        <w:t xml:space="preserve"> </w:t>
      </w:r>
      <w:r w:rsidR="76BB71F8" w:rsidRPr="774E1A59">
        <w:rPr>
          <w:color w:val="000000" w:themeColor="text1"/>
        </w:rPr>
        <w:t xml:space="preserve">treatment drugs, </w:t>
      </w:r>
      <w:r w:rsidR="0EDAD93B" w:rsidRPr="774E1A59">
        <w:rPr>
          <w:color w:val="000000" w:themeColor="text1"/>
        </w:rPr>
        <w:t xml:space="preserve">and the monopoly HPV vaccine Gardasil. </w:t>
      </w:r>
    </w:p>
    <w:p w14:paraId="3FAA795A" w14:textId="77777777" w:rsidR="0005701C" w:rsidRPr="00714CCD" w:rsidRDefault="0005701C" w:rsidP="009260BC">
      <w:pPr>
        <w:ind w:left="-540" w:right="-450"/>
        <w:rPr>
          <w:color w:val="000000" w:themeColor="text1"/>
        </w:rPr>
      </w:pPr>
    </w:p>
    <w:p w14:paraId="54A79486" w14:textId="77777777" w:rsidR="009260BC" w:rsidRPr="00955E04" w:rsidRDefault="009260BC" w:rsidP="009260BC">
      <w:pPr>
        <w:pStyle w:val="Heading1"/>
        <w:ind w:left="-540" w:right="-450"/>
      </w:pPr>
      <w:r>
        <w:t>Recommendation</w:t>
      </w:r>
    </w:p>
    <w:p w14:paraId="3BF9CDA5" w14:textId="0F560CCC" w:rsidR="009260BC" w:rsidRDefault="002832A7" w:rsidP="009260BC">
      <w:pPr>
        <w:ind w:left="-540" w:right="-450"/>
      </w:pPr>
      <w:r>
        <w:rPr>
          <w:noProof/>
        </w:rPr>
        <w:drawing>
          <wp:anchor distT="0" distB="0" distL="114300" distR="114300" simplePos="0" relativeHeight="251658243" behindDoc="0" locked="0" layoutInCell="1" allowOverlap="1" wp14:anchorId="79134317" wp14:editId="0A9E5C4E">
            <wp:simplePos x="0" y="0"/>
            <wp:positionH relativeFrom="column">
              <wp:posOffset>4258310</wp:posOffset>
            </wp:positionH>
            <wp:positionV relativeFrom="paragraph">
              <wp:posOffset>45085</wp:posOffset>
            </wp:positionV>
            <wp:extent cx="2141855" cy="15474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1701" t="34269" r="24260" b="35548"/>
                    <a:stretch/>
                  </pic:blipFill>
                  <pic:spPr bwMode="auto">
                    <a:xfrm>
                      <a:off x="0" y="0"/>
                      <a:ext cx="2141855" cy="154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8EEEDA4">
        <w:t xml:space="preserve">We are recommending a </w:t>
      </w:r>
      <w:r w:rsidR="38EEEDA4" w:rsidRPr="04C63FB9">
        <w:rPr>
          <w:b/>
          <w:bCs/>
          <w:color w:val="6FAC47"/>
        </w:rPr>
        <w:t>BUY</w:t>
      </w:r>
      <w:r w:rsidR="38EEEDA4">
        <w:t xml:space="preserve"> for Merck </w:t>
      </w:r>
      <w:r w:rsidR="736240E1">
        <w:t xml:space="preserve">and </w:t>
      </w:r>
      <w:r w:rsidR="38EEEDA4">
        <w:t xml:space="preserve">Co. By combining and weighting </w:t>
      </w:r>
      <w:r w:rsidR="298AAC1B">
        <w:t xml:space="preserve">two valuation methods, discounted cash flow and </w:t>
      </w:r>
      <w:r w:rsidR="51D05495">
        <w:t xml:space="preserve">multiples approach, </w:t>
      </w:r>
      <w:r w:rsidR="11348092">
        <w:t xml:space="preserve">the calculated target price comes out to </w:t>
      </w:r>
      <w:r w:rsidR="2AE04F91">
        <w:t xml:space="preserve">a range of </w:t>
      </w:r>
      <w:r w:rsidR="11348092" w:rsidRPr="04C63FB9">
        <w:rPr>
          <w:b/>
          <w:bCs/>
          <w:color w:val="70AD47" w:themeColor="accent6"/>
        </w:rPr>
        <w:t>$</w:t>
      </w:r>
      <w:r w:rsidR="41582742" w:rsidRPr="04C63FB9">
        <w:rPr>
          <w:b/>
          <w:bCs/>
          <w:color w:val="70AD47" w:themeColor="accent6"/>
        </w:rPr>
        <w:t>92-$118</w:t>
      </w:r>
      <w:r w:rsidR="11348092" w:rsidRPr="04C63FB9">
        <w:rPr>
          <w:b/>
          <w:bCs/>
        </w:rPr>
        <w:t>.</w:t>
      </w:r>
      <w:r w:rsidR="11348092">
        <w:t xml:space="preserve"> </w:t>
      </w:r>
      <w:r w:rsidR="5C1F5B19">
        <w:t xml:space="preserve">Combined with its current market price at $76.09, this stock has the potential to have a return of </w:t>
      </w:r>
      <w:r w:rsidR="10EDC5E2">
        <w:t xml:space="preserve">almost 40%. </w:t>
      </w:r>
      <w:r w:rsidR="72FB6239">
        <w:t>Merck</w:t>
      </w:r>
      <w:r w:rsidR="61034971">
        <w:t xml:space="preserve">’s </w:t>
      </w:r>
      <w:r w:rsidR="04790049">
        <w:t>aim</w:t>
      </w:r>
      <w:r w:rsidR="3F53E021">
        <w:t xml:space="preserve"> at growth and </w:t>
      </w:r>
      <w:r w:rsidR="519A4EA7">
        <w:t xml:space="preserve">bolstering its future pipeline </w:t>
      </w:r>
      <w:r w:rsidR="57023DB3">
        <w:t xml:space="preserve">highlighted in the </w:t>
      </w:r>
      <w:r w:rsidR="519A4EA7">
        <w:t>investment thesis</w:t>
      </w:r>
      <w:r w:rsidR="5A8D0A48">
        <w:t>,</w:t>
      </w:r>
      <w:r w:rsidR="519A4EA7">
        <w:t xml:space="preserve"> </w:t>
      </w:r>
      <w:r w:rsidR="1ADA5521">
        <w:t xml:space="preserve">that </w:t>
      </w:r>
      <w:r w:rsidR="01980336">
        <w:t xml:space="preserve">also </w:t>
      </w:r>
      <w:r w:rsidR="1ADA5521">
        <w:t>addresses noted risks for the company</w:t>
      </w:r>
      <w:r w:rsidR="5A8D0A48">
        <w:t>,</w:t>
      </w:r>
      <w:r w:rsidR="14FD0034">
        <w:t xml:space="preserve"> leads us to highly recommend this undervalued stock.</w:t>
      </w:r>
    </w:p>
    <w:p w14:paraId="7952FB2B" w14:textId="77777777" w:rsidR="009260BC" w:rsidRDefault="009260BC" w:rsidP="009260BC">
      <w:pPr>
        <w:ind w:left="-540" w:right="-450"/>
      </w:pPr>
    </w:p>
    <w:p w14:paraId="1EE222F1" w14:textId="366412D1" w:rsidR="009260BC" w:rsidRDefault="0089190F" w:rsidP="00585BC7">
      <w:pPr>
        <w:pStyle w:val="Caption"/>
      </w:pPr>
      <w:r>
        <w:t xml:space="preserve">Figure </w:t>
      </w:r>
      <w:r>
        <w:fldChar w:fldCharType="begin"/>
      </w:r>
      <w:r>
        <w:instrText>SEQ Figure \* ARABIC</w:instrText>
      </w:r>
      <w:r>
        <w:fldChar w:fldCharType="separate"/>
      </w:r>
      <w:r w:rsidR="00666CAE">
        <w:rPr>
          <w:noProof/>
        </w:rPr>
        <w:t>1</w:t>
      </w:r>
      <w:r>
        <w:fldChar w:fldCharType="end"/>
      </w:r>
      <w:r>
        <w:t>: Market Value vs. Intrinsic Value</w:t>
      </w:r>
    </w:p>
    <w:p w14:paraId="64633F2E" w14:textId="785ABCF5" w:rsidR="009260BC" w:rsidRDefault="009260BC" w:rsidP="009260BC">
      <w:pPr>
        <w:pStyle w:val="Heading1"/>
        <w:ind w:left="-540" w:right="-450"/>
      </w:pPr>
      <w:r>
        <w:t>Investment Thesis</w:t>
      </w:r>
    </w:p>
    <w:p w14:paraId="4E7BBA6D" w14:textId="77777777" w:rsidR="009260BC" w:rsidRDefault="009260BC" w:rsidP="009260BC">
      <w:pPr>
        <w:pStyle w:val="Heading2"/>
        <w:ind w:left="-540" w:right="-450"/>
        <w:rPr>
          <w:rFonts w:eastAsiaTheme="minorEastAsia"/>
        </w:rPr>
      </w:pPr>
      <w:r>
        <w:t>Product Diversification through M&amp;A</w:t>
      </w:r>
    </w:p>
    <w:p w14:paraId="7BABC4F4" w14:textId="20AD1E72" w:rsidR="009260BC" w:rsidRDefault="009260BC" w:rsidP="009260BC">
      <w:pPr>
        <w:ind w:left="-540" w:right="-450"/>
      </w:pPr>
      <w:r>
        <w:t>Over the last two years Merck &amp; Co</w:t>
      </w:r>
      <w:r w:rsidR="6B72E1FD">
        <w:t>.</w:t>
      </w:r>
      <w:r>
        <w:t xml:space="preserve"> has been active in the mergers and acquisitions</w:t>
      </w:r>
      <w:r w:rsidR="0689BB30">
        <w:t>, accomplishing</w:t>
      </w:r>
      <w:r>
        <w:t xml:space="preserve"> over 15 acquisitions since 2018. Many are geared at further enhancing Merck’s already impressive presence in the pharmaceutical</w:t>
      </w:r>
      <w:r w:rsidR="444576F8">
        <w:t xml:space="preserve">s </w:t>
      </w:r>
      <w:r>
        <w:t xml:space="preserve">sector aimed at products for cancer treatment. However, a few are aimed at infectious disease and lesser-known diseases. Notable acquisitions include </w:t>
      </w:r>
      <w:proofErr w:type="spellStart"/>
      <w:r>
        <w:t>Provota</w:t>
      </w:r>
      <w:proofErr w:type="spellEnd"/>
      <w:r>
        <w:t xml:space="preserve"> Health and Infectious Disease Connect, Inc. Both are tech companies where </w:t>
      </w:r>
      <w:proofErr w:type="spellStart"/>
      <w:r>
        <w:t>Provota</w:t>
      </w:r>
      <w:proofErr w:type="spellEnd"/>
      <w:r>
        <w:t xml:space="preserve"> is focused on providing digital health solutions and Infectious Disease Connect is telehealth. Other acquisitions of interest involve five companies aimed at enhancing Merck’s animal health business segment that has seen a lot of activity recently. To address the concern of supply and demand for some of Merck’s products, Merck has most recently acquired another pharmaceuticals manufacturing company to grow product capacity.</w:t>
      </w:r>
    </w:p>
    <w:p w14:paraId="5936731B" w14:textId="77777777" w:rsidR="00AA4C77" w:rsidRDefault="00AA4C77" w:rsidP="00DF1F03">
      <w:pPr>
        <w:ind w:right="-450"/>
      </w:pPr>
    </w:p>
    <w:p w14:paraId="39FD1C30" w14:textId="77777777" w:rsidR="009260BC" w:rsidRDefault="009260BC" w:rsidP="009260BC">
      <w:pPr>
        <w:pStyle w:val="Heading2"/>
        <w:ind w:left="-540" w:right="-450"/>
      </w:pPr>
      <w:r>
        <w:t>Consistently High R&amp;D</w:t>
      </w:r>
    </w:p>
    <w:p w14:paraId="3E2F3F5F" w14:textId="77777777" w:rsidR="009260BC" w:rsidRDefault="009260BC" w:rsidP="009260BC">
      <w:pPr>
        <w:ind w:left="-540" w:right="-450"/>
      </w:pPr>
      <w:r>
        <w:t>Merck over the last few years has been investing heavily in its research and development department. With an average R&amp;D investment of just over nine billion, it was only rivaled by Johnson &amp; Johnson at 9.9 billion in the initial stock screen. Part of Merck’s success in being able to successfully invest so much has to do with the success it has found in the animal health segment which produces a lot of cash flow for its R&amp;D. Merck is also the only large pharmaceutical company that still is directly linked to its animal health segment. Pfizer and Eli Lilly both separated and turned their animal health segments into standalone businesses. But bucking the trend has worked for Merck as the animal-health unit has experienced large operating margins last announced in 2018 at 40%.</w:t>
      </w:r>
    </w:p>
    <w:p w14:paraId="169D14AD" w14:textId="77777777" w:rsidR="00AA4C77" w:rsidRDefault="00AA4C77" w:rsidP="009260BC">
      <w:pPr>
        <w:ind w:left="-540" w:right="-450"/>
      </w:pPr>
    </w:p>
    <w:p w14:paraId="359EE280" w14:textId="77777777" w:rsidR="009260BC" w:rsidRDefault="009260BC" w:rsidP="009260BC">
      <w:pPr>
        <w:pStyle w:val="Heading2"/>
        <w:ind w:left="-540" w:right="-450"/>
      </w:pPr>
      <w:r>
        <w:t>Global Restructuring Program</w:t>
      </w:r>
    </w:p>
    <w:p w14:paraId="2B640AD0" w14:textId="7874B9C5" w:rsidR="009260BC" w:rsidRDefault="009260BC" w:rsidP="009260BC">
      <w:pPr>
        <w:ind w:left="-540" w:right="-450"/>
      </w:pPr>
      <w:r>
        <w:t>In 2019 Merck &amp; Co</w:t>
      </w:r>
      <w:r w:rsidR="44055D31">
        <w:t>.</w:t>
      </w:r>
      <w:r>
        <w:t xml:space="preserve"> approved a new global restructuring program. The goal of this is to further optimize the company's manufacturing and supply networks along with decreasing their real estate footprint. Merck’s restructuring efforts impacted revenue in the first quarter of 2019 by 11%. Significant steps </w:t>
      </w:r>
      <w:r w:rsidR="0029010E">
        <w:t xml:space="preserve">of the restructure </w:t>
      </w:r>
      <w:r>
        <w:t>are expected to be completed by 2023</w:t>
      </w:r>
      <w:r w:rsidR="0029010E">
        <w:t xml:space="preserve">. The restructure has a </w:t>
      </w:r>
      <w:r>
        <w:t xml:space="preserve">pretax cost of $800 million – $1.2 billion. 55% of the costs are expected to be paid with cash, and the other 45% is primarily related to accelerated depreciation of facilities affected by the restructure. As 2023 </w:t>
      </w:r>
      <w:r w:rsidR="75D05A77">
        <w:t>comes</w:t>
      </w:r>
      <w:r>
        <w:t xml:space="preserve"> closer, Merck is expecting to continue to see growth in international sales, especially in Chin</w:t>
      </w:r>
      <w:r w:rsidR="00942FA0">
        <w:t xml:space="preserve">a, </w:t>
      </w:r>
      <w:r>
        <w:t>where sales increased 58%</w:t>
      </w:r>
      <w:r w:rsidR="00BD43CA">
        <w:t xml:space="preserve"> in 2019</w:t>
      </w:r>
      <w:r>
        <w:t xml:space="preserve">. The restructure also should positively affect their public image. </w:t>
      </w:r>
      <w:r w:rsidR="00674672">
        <w:t xml:space="preserve">Being environmentally friendly </w:t>
      </w:r>
      <w:r>
        <w:t>is becoming an important trend for large corporations to adopt</w:t>
      </w:r>
      <w:r w:rsidR="00674672">
        <w:t xml:space="preserve">. </w:t>
      </w:r>
    </w:p>
    <w:p w14:paraId="7BF78FC6" w14:textId="77777777" w:rsidR="00AA4C77" w:rsidRDefault="00AA4C77" w:rsidP="009260BC">
      <w:pPr>
        <w:ind w:left="-540" w:right="-450"/>
      </w:pPr>
    </w:p>
    <w:p w14:paraId="37FF9DE3" w14:textId="77777777" w:rsidR="009260BC" w:rsidRDefault="009260BC" w:rsidP="009260BC">
      <w:pPr>
        <w:pStyle w:val="Heading2"/>
        <w:ind w:left="-540" w:right="-450"/>
      </w:pPr>
      <w:r>
        <w:t xml:space="preserve">Increasing Margins </w:t>
      </w:r>
    </w:p>
    <w:p w14:paraId="6458DC83" w14:textId="5C8836B5" w:rsidR="009260BC" w:rsidRDefault="009260BC" w:rsidP="009260BC">
      <w:pPr>
        <w:ind w:left="-540" w:right="-450"/>
      </w:pPr>
      <w:r>
        <w:t>In February of 2020, Merck announced a spin-off company known as Organon &amp; Co. The spin-off will focus on women’s health and realize many</w:t>
      </w:r>
      <w:r w:rsidR="001076FD">
        <w:t xml:space="preserve"> of</w:t>
      </w:r>
      <w:r>
        <w:t xml:space="preserve"> Merck’s legacy brands. The net assets will be exchanged for 100% of Organon &amp; Co’s common stock. What Merck believes is the spin-off will allow the two separate entities to grow faster and have better flexibility. The most important thing coming from this spin-off is the increasing operating margins. The initial impact is $1.5 billion in pre-tax operating efficiencies; Merck is expected to see a 40% increase in operating margins by 2024. </w:t>
      </w:r>
    </w:p>
    <w:p w14:paraId="09B3D84F" w14:textId="77777777" w:rsidR="00DF1F03" w:rsidRDefault="00DF1F03" w:rsidP="009260BC">
      <w:pPr>
        <w:ind w:left="-540" w:right="-450"/>
      </w:pPr>
    </w:p>
    <w:p w14:paraId="0509675C" w14:textId="77777777" w:rsidR="00DF1F03" w:rsidRDefault="00DF1F03" w:rsidP="00DF1F03">
      <w:pPr>
        <w:pStyle w:val="Heading2"/>
        <w:ind w:left="-540" w:right="-450"/>
      </w:pPr>
      <w:r>
        <w:t>Strategic Management Positioning</w:t>
      </w:r>
    </w:p>
    <w:p w14:paraId="273706B7" w14:textId="7721355F" w:rsidR="003F0174" w:rsidRDefault="00DF1F03" w:rsidP="00DF1F03">
      <w:pPr>
        <w:ind w:left="-540" w:right="-450"/>
      </w:pPr>
      <w:r>
        <w:t>Given the current concerns in Merck’s pipeline and capacity, the research gathered on the company is indicative that Merck is currently undervalued with opportunity for impressive growth in the future. Observing the consistently high investment in R&amp;D, that eventually pays off as more products come to market that are superior to the competition. Recent acquisitions enhance current portfolio by strengthening already notable segments while also diversifying products and services not fully explored by Merck. Some of which leverage digital solutions during a Covid-19 focused world and others that enhance its animal health segment that is a key player for covering further R&amp;D expenses. While not at the front of the competition for Covid-19 solutions, Merck is currently working on several treatments with the aim at not being the first solution to the pandemic, but to be the best solution. To address its growing popularity and application of Keytruda; and its recently found dominance and growing scope with Gardasil, an HPV vaccine, Merck is growing its capacity to meet market demands. To demonstrate Merck’s true growth potential, Merck is spinning off some of its older assets to a new company so that it can focus on its future. These strategic moves show that Merck is ready for growth and is why the conclusion that it is underweighted has been made.</w:t>
      </w:r>
    </w:p>
    <w:p w14:paraId="2FEEB7BB" w14:textId="4E6191EB" w:rsidR="00DF1F03" w:rsidRDefault="003F0174" w:rsidP="003F0174">
      <w:r>
        <w:br w:type="page"/>
      </w:r>
    </w:p>
    <w:p w14:paraId="40107FA2" w14:textId="6DF4C88B" w:rsidR="009260BC" w:rsidRDefault="009260BC" w:rsidP="009260BC">
      <w:pPr>
        <w:pStyle w:val="Heading1"/>
        <w:ind w:left="-540" w:right="-450"/>
      </w:pPr>
      <w:r>
        <w:t>Valuation</w:t>
      </w:r>
    </w:p>
    <w:p w14:paraId="5C0644D6" w14:textId="4007655A" w:rsidR="00AA4C77" w:rsidRDefault="0026213F" w:rsidP="00125341">
      <w:pPr>
        <w:ind w:left="-540" w:right="-450"/>
        <w:rPr>
          <w:b/>
          <w:bCs/>
        </w:rPr>
      </w:pPr>
      <w:r w:rsidRPr="0026213F">
        <w:rPr>
          <w:b/>
          <w:bCs/>
        </w:rPr>
        <w:t>Part I</w:t>
      </w:r>
      <w:r w:rsidR="00AA4C77">
        <w:rPr>
          <w:b/>
          <w:bCs/>
        </w:rPr>
        <w:t xml:space="preserve"> </w:t>
      </w:r>
      <w:r w:rsidR="00A91626" w:rsidRPr="00AA4C77">
        <w:rPr>
          <w:b/>
          <w:bCs/>
        </w:rPr>
        <w:t xml:space="preserve">Using the DCF </w:t>
      </w:r>
      <w:r w:rsidR="003C49C9">
        <w:rPr>
          <w:b/>
          <w:bCs/>
        </w:rPr>
        <w:t>M</w:t>
      </w:r>
      <w:r w:rsidR="00A91626" w:rsidRPr="00AA4C77">
        <w:rPr>
          <w:b/>
          <w:bCs/>
        </w:rPr>
        <w:t>odel</w:t>
      </w:r>
    </w:p>
    <w:p w14:paraId="09027F3F" w14:textId="2C18A533" w:rsidR="00125341" w:rsidRDefault="00AA4C77" w:rsidP="00125341">
      <w:pPr>
        <w:ind w:left="-540" w:right="-450"/>
      </w:pPr>
      <w:r>
        <w:t>W</w:t>
      </w:r>
      <w:r w:rsidR="00A91626">
        <w:t>e have a</w:t>
      </w:r>
      <w:r w:rsidR="003D28AC">
        <w:t>n estimate</w:t>
      </w:r>
      <w:r w:rsidR="00A91626">
        <w:t xml:space="preserve"> price of </w:t>
      </w:r>
      <w:r w:rsidR="00A91626" w:rsidRPr="04C63FB9">
        <w:rPr>
          <w:b/>
          <w:bCs/>
          <w:color w:val="70AD47" w:themeColor="accent6"/>
        </w:rPr>
        <w:t>$1</w:t>
      </w:r>
      <w:r w:rsidR="43B35164" w:rsidRPr="04C63FB9">
        <w:rPr>
          <w:b/>
          <w:bCs/>
          <w:color w:val="70AD47" w:themeColor="accent6"/>
        </w:rPr>
        <w:t>10</w:t>
      </w:r>
      <w:r w:rsidR="00492E3E" w:rsidRPr="04C63FB9">
        <w:rPr>
          <w:b/>
          <w:bCs/>
          <w:color w:val="70AD47" w:themeColor="accent6"/>
        </w:rPr>
        <w:t>-$1</w:t>
      </w:r>
      <w:r w:rsidR="76908A3F" w:rsidRPr="04C63FB9">
        <w:rPr>
          <w:b/>
          <w:bCs/>
          <w:color w:val="70AD47" w:themeColor="accent6"/>
        </w:rPr>
        <w:t>60</w:t>
      </w:r>
      <w:r w:rsidR="00234513" w:rsidRPr="04C63FB9">
        <w:rPr>
          <w:b/>
          <w:bCs/>
        </w:rPr>
        <w:t xml:space="preserve">. </w:t>
      </w:r>
      <w:r w:rsidR="003233E8">
        <w:t xml:space="preserve">This price </w:t>
      </w:r>
      <w:r w:rsidR="003D28AC">
        <w:t>estimate</w:t>
      </w:r>
      <w:r w:rsidR="003233E8">
        <w:t xml:space="preserve"> reflects </w:t>
      </w:r>
      <w:r w:rsidR="00D90201">
        <w:t xml:space="preserve">four assumptions made </w:t>
      </w:r>
      <w:r w:rsidR="00CA37D0">
        <w:t>based off consensus research</w:t>
      </w:r>
      <w:r w:rsidR="008177CF">
        <w:t xml:space="preserve"> provided by FACTSET and Bloomberg</w:t>
      </w:r>
      <w:r w:rsidR="00CA37D0">
        <w:t>. The following assumptions are as follows:</w:t>
      </w:r>
    </w:p>
    <w:p w14:paraId="66AD5B61" w14:textId="77777777" w:rsidR="00835A09" w:rsidRDefault="00835A09" w:rsidP="00125341">
      <w:pPr>
        <w:ind w:left="-540" w:right="-450"/>
      </w:pPr>
    </w:p>
    <w:p w14:paraId="20AC6016" w14:textId="76ED5AAF" w:rsidR="006C75D1" w:rsidRDefault="006C75D1" w:rsidP="006C75D1">
      <w:pPr>
        <w:pStyle w:val="ListParagraph"/>
        <w:numPr>
          <w:ilvl w:val="0"/>
          <w:numId w:val="10"/>
        </w:numPr>
        <w:ind w:right="-450"/>
      </w:pPr>
      <w:r>
        <w:t>Long</w:t>
      </w:r>
      <w:r w:rsidR="00835A09">
        <w:t>-</w:t>
      </w:r>
      <w:r>
        <w:t xml:space="preserve">Term </w:t>
      </w:r>
      <w:r w:rsidR="00835A09">
        <w:t>g</w:t>
      </w:r>
      <w:r>
        <w:t xml:space="preserve">rowth </w:t>
      </w:r>
      <w:r w:rsidR="00835A09">
        <w:t>r</w:t>
      </w:r>
      <w:r>
        <w:t xml:space="preserve">ate: </w:t>
      </w:r>
      <w:r w:rsidRPr="00835A09">
        <w:rPr>
          <w:u w:val="single"/>
        </w:rPr>
        <w:t>9.1%</w:t>
      </w:r>
    </w:p>
    <w:p w14:paraId="0A6C4E6D" w14:textId="79264838" w:rsidR="005B6AE0" w:rsidRPr="005B6AE0" w:rsidRDefault="006C75D1" w:rsidP="006C75D1">
      <w:pPr>
        <w:pStyle w:val="ListParagraph"/>
        <w:numPr>
          <w:ilvl w:val="0"/>
          <w:numId w:val="10"/>
        </w:numPr>
        <w:ind w:right="-450"/>
      </w:pPr>
      <w:r>
        <w:t xml:space="preserve">EBIT, D&amp;A, </w:t>
      </w:r>
      <w:r w:rsidRPr="68E2F57C">
        <w:rPr>
          <w:rFonts w:ascii="Cambria Math" w:eastAsia="Times New Roman" w:hAnsi="Cambria Math" w:cs="Cambria Math"/>
          <w:color w:val="000000" w:themeColor="text1"/>
          <w:sz w:val="20"/>
          <w:szCs w:val="20"/>
        </w:rPr>
        <w:t>△</w:t>
      </w:r>
      <w:r w:rsidRPr="68E2F57C">
        <w:rPr>
          <w:rFonts w:ascii="Arial" w:eastAsia="Times New Roman" w:hAnsi="Arial" w:cs="Arial"/>
          <w:color w:val="000000" w:themeColor="text1"/>
          <w:sz w:val="20"/>
          <w:szCs w:val="20"/>
        </w:rPr>
        <w:t xml:space="preserve">NWC, 1st </w:t>
      </w:r>
      <w:r w:rsidR="001006C0" w:rsidRPr="22F8DB5D">
        <w:rPr>
          <w:rFonts w:ascii="Arial" w:eastAsia="Times New Roman" w:hAnsi="Arial" w:cs="Arial"/>
          <w:color w:val="000000" w:themeColor="text1"/>
          <w:sz w:val="20"/>
          <w:szCs w:val="20"/>
        </w:rPr>
        <w:t>y</w:t>
      </w:r>
      <w:r w:rsidRPr="22F8DB5D">
        <w:rPr>
          <w:rFonts w:ascii="Arial" w:eastAsia="Times New Roman" w:hAnsi="Arial" w:cs="Arial"/>
          <w:color w:val="000000" w:themeColor="text1"/>
          <w:sz w:val="20"/>
          <w:szCs w:val="20"/>
        </w:rPr>
        <w:t>ear</w:t>
      </w:r>
      <w:r w:rsidR="005B6AE0" w:rsidRPr="22F8DB5D">
        <w:rPr>
          <w:rFonts w:ascii="Arial" w:eastAsia="Times New Roman" w:hAnsi="Arial" w:cs="Arial"/>
          <w:color w:val="000000" w:themeColor="text1"/>
          <w:sz w:val="20"/>
          <w:szCs w:val="20"/>
        </w:rPr>
        <w:t xml:space="preserve"> </w:t>
      </w:r>
      <w:r w:rsidR="001006C0" w:rsidRPr="22F8DB5D">
        <w:rPr>
          <w:rFonts w:ascii="Arial" w:eastAsia="Times New Roman" w:hAnsi="Arial" w:cs="Arial"/>
          <w:color w:val="000000" w:themeColor="text1"/>
          <w:sz w:val="20"/>
          <w:szCs w:val="20"/>
        </w:rPr>
        <w:t>g</w:t>
      </w:r>
      <w:r w:rsidR="005B6AE0" w:rsidRPr="22F8DB5D">
        <w:rPr>
          <w:rFonts w:ascii="Arial" w:eastAsia="Times New Roman" w:hAnsi="Arial" w:cs="Arial"/>
          <w:color w:val="000000" w:themeColor="text1"/>
          <w:sz w:val="20"/>
          <w:szCs w:val="20"/>
        </w:rPr>
        <w:t>rowth</w:t>
      </w:r>
      <w:r w:rsidR="001006C0" w:rsidRPr="22F8DB5D">
        <w:rPr>
          <w:rFonts w:ascii="Arial" w:eastAsia="Times New Roman" w:hAnsi="Arial" w:cs="Arial"/>
          <w:color w:val="000000" w:themeColor="text1"/>
          <w:sz w:val="20"/>
          <w:szCs w:val="20"/>
        </w:rPr>
        <w:t>:</w:t>
      </w:r>
      <w:r w:rsidR="005B6AE0" w:rsidRPr="22F8DB5D">
        <w:rPr>
          <w:rFonts w:ascii="Arial" w:eastAsia="Times New Roman" w:hAnsi="Arial" w:cs="Arial"/>
          <w:color w:val="000000" w:themeColor="text1"/>
          <w:sz w:val="20"/>
          <w:szCs w:val="20"/>
        </w:rPr>
        <w:t xml:space="preserve"> </w:t>
      </w:r>
      <w:r w:rsidR="005B6AE0" w:rsidRPr="00CC0EC7">
        <w:rPr>
          <w:rFonts w:ascii="Arial" w:eastAsia="Times New Roman" w:hAnsi="Arial" w:cs="Arial"/>
          <w:color w:val="000000" w:themeColor="text1"/>
          <w:sz w:val="20"/>
          <w:szCs w:val="20"/>
          <w:u w:val="single"/>
        </w:rPr>
        <w:t>5%</w:t>
      </w:r>
    </w:p>
    <w:p w14:paraId="0863DAA7" w14:textId="7735053A" w:rsidR="006C75D1" w:rsidRPr="00835A09" w:rsidRDefault="001006C0" w:rsidP="006C75D1">
      <w:pPr>
        <w:pStyle w:val="ListParagraph"/>
        <w:numPr>
          <w:ilvl w:val="0"/>
          <w:numId w:val="10"/>
        </w:numPr>
        <w:ind w:right="-450"/>
        <w:rPr>
          <w:u w:val="single"/>
        </w:rPr>
      </w:pPr>
      <w:r>
        <w:t xml:space="preserve">EBIT, D&amp;A, </w:t>
      </w:r>
      <w:r w:rsidRPr="22F8DB5D">
        <w:rPr>
          <w:rFonts w:ascii="Cambria Math" w:eastAsia="Times New Roman" w:hAnsi="Cambria Math" w:cs="Cambria Math"/>
          <w:color w:val="000000" w:themeColor="text1"/>
          <w:sz w:val="20"/>
          <w:szCs w:val="20"/>
        </w:rPr>
        <w:t>△</w:t>
      </w:r>
      <w:r w:rsidRPr="22F8DB5D">
        <w:rPr>
          <w:rFonts w:ascii="Arial" w:eastAsia="Times New Roman" w:hAnsi="Arial" w:cs="Arial"/>
          <w:color w:val="000000" w:themeColor="text1"/>
          <w:sz w:val="20"/>
          <w:szCs w:val="20"/>
        </w:rPr>
        <w:t>NWC, 2</w:t>
      </w:r>
      <w:r w:rsidRPr="22F8DB5D">
        <w:rPr>
          <w:rFonts w:ascii="Arial" w:eastAsia="Times New Roman" w:hAnsi="Arial" w:cs="Arial"/>
          <w:color w:val="000000" w:themeColor="text1"/>
          <w:sz w:val="20"/>
          <w:szCs w:val="20"/>
          <w:vertAlign w:val="superscript"/>
        </w:rPr>
        <w:t>nd</w:t>
      </w:r>
      <w:r w:rsidRPr="22F8DB5D">
        <w:rPr>
          <w:rFonts w:ascii="Arial" w:eastAsia="Times New Roman" w:hAnsi="Arial" w:cs="Arial"/>
          <w:color w:val="000000" w:themeColor="text1"/>
          <w:sz w:val="20"/>
          <w:szCs w:val="20"/>
        </w:rPr>
        <w:t xml:space="preserve"> and 3</w:t>
      </w:r>
      <w:r w:rsidRPr="22F8DB5D">
        <w:rPr>
          <w:rFonts w:ascii="Arial" w:eastAsia="Times New Roman" w:hAnsi="Arial" w:cs="Arial"/>
          <w:color w:val="000000" w:themeColor="text1"/>
          <w:sz w:val="20"/>
          <w:szCs w:val="20"/>
          <w:vertAlign w:val="superscript"/>
        </w:rPr>
        <w:t>rd</w:t>
      </w:r>
      <w:r w:rsidRPr="22F8DB5D">
        <w:rPr>
          <w:rFonts w:ascii="Arial" w:eastAsia="Times New Roman" w:hAnsi="Arial" w:cs="Arial"/>
          <w:color w:val="000000" w:themeColor="text1"/>
          <w:sz w:val="20"/>
          <w:szCs w:val="20"/>
        </w:rPr>
        <w:t xml:space="preserve"> year growth: </w:t>
      </w:r>
      <w:r w:rsidRPr="00CC0EC7">
        <w:rPr>
          <w:rFonts w:ascii="Arial" w:eastAsia="Times New Roman" w:hAnsi="Arial" w:cs="Arial"/>
          <w:color w:val="000000" w:themeColor="text1"/>
          <w:sz w:val="20"/>
          <w:szCs w:val="20"/>
          <w:u w:val="single"/>
        </w:rPr>
        <w:t>6%</w:t>
      </w:r>
    </w:p>
    <w:p w14:paraId="1F4EEEAF" w14:textId="4A9ECA80" w:rsidR="001006C0" w:rsidRDefault="001006C0" w:rsidP="006C75D1">
      <w:pPr>
        <w:pStyle w:val="ListParagraph"/>
        <w:numPr>
          <w:ilvl w:val="0"/>
          <w:numId w:val="10"/>
        </w:numPr>
        <w:ind w:right="-450"/>
      </w:pPr>
      <w:r>
        <w:t xml:space="preserve">EBIT, D&amp;A, </w:t>
      </w:r>
      <w:r w:rsidRPr="22F8DB5D">
        <w:rPr>
          <w:rFonts w:ascii="Cambria Math" w:eastAsia="Times New Roman" w:hAnsi="Cambria Math" w:cs="Cambria Math"/>
          <w:color w:val="000000" w:themeColor="text1"/>
          <w:sz w:val="20"/>
          <w:szCs w:val="20"/>
        </w:rPr>
        <w:t>△</w:t>
      </w:r>
      <w:r w:rsidRPr="22F8DB5D">
        <w:rPr>
          <w:rFonts w:ascii="Arial" w:eastAsia="Times New Roman" w:hAnsi="Arial" w:cs="Arial"/>
          <w:color w:val="000000" w:themeColor="text1"/>
          <w:sz w:val="20"/>
          <w:szCs w:val="20"/>
        </w:rPr>
        <w:t>NWC, 2</w:t>
      </w:r>
      <w:r w:rsidRPr="22F8DB5D">
        <w:rPr>
          <w:rFonts w:ascii="Arial" w:eastAsia="Times New Roman" w:hAnsi="Arial" w:cs="Arial"/>
          <w:color w:val="000000" w:themeColor="text1"/>
          <w:sz w:val="20"/>
          <w:szCs w:val="20"/>
          <w:vertAlign w:val="superscript"/>
        </w:rPr>
        <w:t>nd</w:t>
      </w:r>
      <w:r w:rsidRPr="22F8DB5D">
        <w:rPr>
          <w:rFonts w:ascii="Arial" w:eastAsia="Times New Roman" w:hAnsi="Arial" w:cs="Arial"/>
          <w:color w:val="000000" w:themeColor="text1"/>
          <w:sz w:val="20"/>
          <w:szCs w:val="20"/>
        </w:rPr>
        <w:t xml:space="preserve"> and 3</w:t>
      </w:r>
      <w:r w:rsidRPr="22F8DB5D">
        <w:rPr>
          <w:rFonts w:ascii="Arial" w:eastAsia="Times New Roman" w:hAnsi="Arial" w:cs="Arial"/>
          <w:color w:val="000000" w:themeColor="text1"/>
          <w:sz w:val="20"/>
          <w:szCs w:val="20"/>
          <w:vertAlign w:val="superscript"/>
        </w:rPr>
        <w:t>rd</w:t>
      </w:r>
      <w:r w:rsidRPr="22F8DB5D">
        <w:rPr>
          <w:rFonts w:ascii="Arial" w:eastAsia="Times New Roman" w:hAnsi="Arial" w:cs="Arial"/>
          <w:color w:val="000000" w:themeColor="text1"/>
          <w:sz w:val="20"/>
          <w:szCs w:val="20"/>
        </w:rPr>
        <w:t xml:space="preserve"> year growth:</w:t>
      </w:r>
      <w:r w:rsidR="00835A09">
        <w:rPr>
          <w:rFonts w:ascii="Arial" w:eastAsia="Times New Roman" w:hAnsi="Arial" w:cs="Arial"/>
          <w:color w:val="000000"/>
          <w:sz w:val="20"/>
          <w:szCs w:val="20"/>
        </w:rPr>
        <w:t xml:space="preserve"> </w:t>
      </w:r>
      <w:r w:rsidR="00835A09" w:rsidRPr="00835A09">
        <w:rPr>
          <w:rFonts w:ascii="Arial" w:eastAsia="Times New Roman" w:hAnsi="Arial" w:cs="Arial"/>
          <w:color w:val="000000"/>
          <w:sz w:val="20"/>
          <w:szCs w:val="20"/>
          <w:u w:val="single"/>
        </w:rPr>
        <w:t>7%</w:t>
      </w:r>
    </w:p>
    <w:p w14:paraId="3C0F2359" w14:textId="77777777" w:rsidR="00642F2E" w:rsidRDefault="00642F2E" w:rsidP="00125341">
      <w:pPr>
        <w:ind w:left="-540" w:right="-450"/>
      </w:pPr>
    </w:p>
    <w:p w14:paraId="70FE231E" w14:textId="2BC974D3" w:rsidR="0026213F" w:rsidRDefault="003E7724" w:rsidP="00AA4C77">
      <w:pPr>
        <w:ind w:left="-540" w:right="-450"/>
      </w:pPr>
      <w:r>
        <w:t>Below</w:t>
      </w:r>
      <w:r w:rsidR="002B3647">
        <w:t xml:space="preserve"> you will see a matrix that shows </w:t>
      </w:r>
      <w:r w:rsidR="00680755">
        <w:t xml:space="preserve">potential prices relative to changing WACC and </w:t>
      </w:r>
      <w:r w:rsidR="00642F2E">
        <w:t xml:space="preserve">perpetuity </w:t>
      </w:r>
      <w:r w:rsidR="0026213F">
        <w:t>g</w:t>
      </w:r>
      <w:r w:rsidR="00642F2E">
        <w:t xml:space="preserve">rowth </w:t>
      </w:r>
      <w:r w:rsidR="0026213F">
        <w:t>r</w:t>
      </w:r>
      <w:r w:rsidR="00642F2E">
        <w:t xml:space="preserve">ate. While we are confident in </w:t>
      </w:r>
      <w:r w:rsidR="00B138ED">
        <w:t xml:space="preserve">our DCF assumptions, </w:t>
      </w:r>
      <w:proofErr w:type="gramStart"/>
      <w:r w:rsidR="00B138ED">
        <w:t>it’s</w:t>
      </w:r>
      <w:proofErr w:type="gramEnd"/>
      <w:r w:rsidR="00B138ED">
        <w:t xml:space="preserve"> also important to become familiar with alternative prices. </w:t>
      </w:r>
    </w:p>
    <w:p w14:paraId="16B143D4" w14:textId="746CB82C" w:rsidR="00EE3DF0" w:rsidRDefault="00EE3DF0" w:rsidP="04C63FB9">
      <w:pPr>
        <w:ind w:left="-540" w:right="-450"/>
      </w:pPr>
    </w:p>
    <w:tbl>
      <w:tblPr>
        <w:tblStyle w:val="TableGrid"/>
        <w:tblW w:w="0" w:type="auto"/>
        <w:tblLayout w:type="fixed"/>
        <w:tblLook w:val="06A0" w:firstRow="1" w:lastRow="0" w:firstColumn="1" w:lastColumn="0" w:noHBand="1" w:noVBand="1"/>
      </w:tblPr>
      <w:tblGrid>
        <w:gridCol w:w="1260"/>
        <w:gridCol w:w="915"/>
        <w:gridCol w:w="975"/>
        <w:gridCol w:w="1020"/>
        <w:gridCol w:w="1020"/>
        <w:gridCol w:w="1035"/>
        <w:gridCol w:w="915"/>
        <w:gridCol w:w="990"/>
      </w:tblGrid>
      <w:tr w:rsidR="04C63FB9" w14:paraId="7FDB4A8C" w14:textId="77777777" w:rsidTr="04C63FB9">
        <w:trPr>
          <w:trHeight w:val="570"/>
        </w:trPr>
        <w:tc>
          <w:tcPr>
            <w:tcW w:w="1260"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5D883365" w14:textId="33F2E7C9" w:rsidR="04C63FB9" w:rsidRDefault="04C63FB9" w:rsidP="04C63FB9">
            <w:pPr>
              <w:spacing w:line="240" w:lineRule="exact"/>
              <w:jc w:val="center"/>
              <w:rPr>
                <w:rFonts w:ascii="Calibri" w:eastAsia="Calibri" w:hAnsi="Calibri" w:cs="Calibri"/>
                <w:b/>
                <w:bCs/>
                <w:color w:val="FFFFFF" w:themeColor="background1"/>
                <w:sz w:val="24"/>
                <w:szCs w:val="24"/>
              </w:rPr>
            </w:pPr>
          </w:p>
        </w:tc>
        <w:tc>
          <w:tcPr>
            <w:tcW w:w="915"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190B659B" w14:textId="0814FF59"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6.1</w:t>
            </w:r>
          </w:p>
        </w:tc>
        <w:tc>
          <w:tcPr>
            <w:tcW w:w="975"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20B1B0CD" w14:textId="35C6B9C8"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7.1</w:t>
            </w:r>
          </w:p>
        </w:tc>
        <w:tc>
          <w:tcPr>
            <w:tcW w:w="1020"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06E5F12E" w14:textId="5B77D01C"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8.1</w:t>
            </w:r>
          </w:p>
        </w:tc>
        <w:tc>
          <w:tcPr>
            <w:tcW w:w="1020"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69416536" w14:textId="3488E0F7"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9.1</w:t>
            </w:r>
          </w:p>
        </w:tc>
        <w:tc>
          <w:tcPr>
            <w:tcW w:w="1035"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5557CFCD" w14:textId="359BAC35"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10.1</w:t>
            </w:r>
          </w:p>
        </w:tc>
        <w:tc>
          <w:tcPr>
            <w:tcW w:w="915"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082CAB11" w14:textId="5F7EC926"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12.1</w:t>
            </w:r>
          </w:p>
        </w:tc>
        <w:tc>
          <w:tcPr>
            <w:tcW w:w="990" w:type="dxa"/>
            <w:tcBorders>
              <w:top w:val="single" w:sz="7" w:space="0" w:color="FFFFFF" w:themeColor="background1"/>
              <w:left w:val="single" w:sz="7" w:space="0" w:color="FFFFFF" w:themeColor="background1"/>
              <w:bottom w:val="single" w:sz="21" w:space="0" w:color="FFFFFF" w:themeColor="background1"/>
              <w:right w:val="single" w:sz="7" w:space="0" w:color="FFFFFF" w:themeColor="background1"/>
            </w:tcBorders>
            <w:shd w:val="clear" w:color="auto" w:fill="4472C4" w:themeFill="accent5"/>
            <w:vAlign w:val="center"/>
          </w:tcPr>
          <w:p w14:paraId="57DFF01A" w14:textId="6D07BDCC" w:rsidR="04C63FB9" w:rsidRDefault="04C63FB9" w:rsidP="04C63FB9">
            <w:pPr>
              <w:spacing w:line="240" w:lineRule="exact"/>
              <w:jc w:val="center"/>
              <w:rPr>
                <w:rFonts w:ascii="Calibri" w:eastAsia="Calibri" w:hAnsi="Calibri" w:cs="Calibri"/>
                <w:b/>
                <w:bCs/>
                <w:color w:val="FFFFFF" w:themeColor="background1"/>
                <w:sz w:val="24"/>
                <w:szCs w:val="24"/>
              </w:rPr>
            </w:pPr>
            <w:r w:rsidRPr="04C63FB9">
              <w:rPr>
                <w:rFonts w:ascii="Calibri" w:eastAsia="Calibri" w:hAnsi="Calibri" w:cs="Calibri"/>
                <w:b/>
                <w:bCs/>
                <w:color w:val="FFFFFF" w:themeColor="background1"/>
                <w:sz w:val="24"/>
                <w:szCs w:val="24"/>
              </w:rPr>
              <w:t>12.1</w:t>
            </w:r>
          </w:p>
        </w:tc>
      </w:tr>
      <w:tr w:rsidR="04C63FB9" w14:paraId="7CCD7F84" w14:textId="77777777" w:rsidTr="04C63FB9">
        <w:trPr>
          <w:trHeight w:val="615"/>
        </w:trPr>
        <w:tc>
          <w:tcPr>
            <w:tcW w:w="1260"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2FE1A445" w14:textId="43017375"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2.6</w:t>
            </w:r>
          </w:p>
        </w:tc>
        <w:tc>
          <w:tcPr>
            <w:tcW w:w="915"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32361EFE" w14:textId="3BBA8A56"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98</w:t>
            </w:r>
          </w:p>
        </w:tc>
        <w:tc>
          <w:tcPr>
            <w:tcW w:w="975"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5048D11E" w14:textId="6AB89E0C"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111</w:t>
            </w:r>
          </w:p>
        </w:tc>
        <w:tc>
          <w:tcPr>
            <w:tcW w:w="1020"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053E0B66" w14:textId="7DA243E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130</w:t>
            </w:r>
          </w:p>
        </w:tc>
        <w:tc>
          <w:tcPr>
            <w:tcW w:w="1020"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2468A87F" w14:textId="3B1C4E5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160</w:t>
            </w:r>
          </w:p>
        </w:tc>
        <w:tc>
          <w:tcPr>
            <w:tcW w:w="1035"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208DF1FF" w14:textId="212024E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214</w:t>
            </w:r>
          </w:p>
        </w:tc>
        <w:tc>
          <w:tcPr>
            <w:tcW w:w="915"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3CB0BA97" w14:textId="20F8EF1C"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389</w:t>
            </w:r>
          </w:p>
        </w:tc>
        <w:tc>
          <w:tcPr>
            <w:tcW w:w="990" w:type="dxa"/>
            <w:tcBorders>
              <w:top w:val="single" w:sz="21"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670C9499" w14:textId="328BA15C"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964</w:t>
            </w:r>
          </w:p>
        </w:tc>
      </w:tr>
      <w:tr w:rsidR="04C63FB9" w14:paraId="3B3DF6AB" w14:textId="77777777" w:rsidTr="04C63FB9">
        <w:trPr>
          <w:trHeight w:val="675"/>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22778687" w14:textId="475EFF91"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3.1</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322E2434" w14:textId="6921AE93"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95</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78D0A40A" w14:textId="6E496F4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106</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0F155A50" w14:textId="76472C18"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122</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71512163" w14:textId="2F28FF1B"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146</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700DCB0A" w14:textId="6EEFDAC1"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186</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79DE1E51" w14:textId="530DC02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266</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3E7B94BE" w14:textId="18B8399D"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505</w:t>
            </w:r>
          </w:p>
        </w:tc>
      </w:tr>
      <w:tr w:rsidR="04C63FB9" w14:paraId="38FF5701" w14:textId="77777777" w:rsidTr="04C63FB9">
        <w:trPr>
          <w:trHeight w:val="570"/>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57B204FC" w14:textId="6D75B2B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3.6</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3165A460" w14:textId="310049A0"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92</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49EDB18D" w14:textId="64D22943"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102</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177DF163" w14:textId="5ED69B3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115</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11D7BC13" w14:textId="15006D42"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135</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2B99C465" w14:textId="09AF8158"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166</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5B015335" w14:textId="44DE8BBC"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222</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7ED8E735" w14:textId="32C2089D"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352</w:t>
            </w:r>
          </w:p>
        </w:tc>
      </w:tr>
      <w:tr w:rsidR="04C63FB9" w14:paraId="1C471D2B" w14:textId="77777777" w:rsidTr="04C63FB9">
        <w:trPr>
          <w:trHeight w:val="570"/>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6EE7D3FC" w14:textId="0BB9F607"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4.1</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3ED003CA" w14:textId="5E5A596B"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90</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144BF4D6" w14:textId="0F0C246A"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98</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59F65F85" w14:textId="6BE5F97D"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110</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51C374FD" w14:textId="23EAD35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126</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2D1A5A5E" w14:textId="56B903D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152</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01F4EF15" w14:textId="02024E86"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193</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3C3A93AE" w14:textId="06C6E94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275</w:t>
            </w:r>
          </w:p>
        </w:tc>
      </w:tr>
      <w:tr w:rsidR="04C63FB9" w14:paraId="1884FD42" w14:textId="77777777" w:rsidTr="04C63FB9">
        <w:trPr>
          <w:trHeight w:val="570"/>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5875FE56" w14:textId="332A8FDB"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4.6</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683FAA5E" w14:textId="3FFDFA8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87</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6B998233" w14:textId="20BB9E7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95</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1D134FA0" w14:textId="710C98A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106</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0A90B407" w14:textId="18C6A374"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120</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2B95A1B1" w14:textId="54D8C417"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140</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6DB0FA3E" w14:textId="74BA7FFC"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173</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4DD22C8B" w14:textId="652FD202"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230</w:t>
            </w:r>
          </w:p>
        </w:tc>
      </w:tr>
      <w:tr w:rsidR="04C63FB9" w14:paraId="045A664B" w14:textId="77777777" w:rsidTr="04C63FB9">
        <w:trPr>
          <w:trHeight w:val="570"/>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20FB5B90" w14:textId="15CEBDC3"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5.1</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2BEC0187" w14:textId="306AB5D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86</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0E178E18" w14:textId="49E39E86"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92</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652F491F" w14:textId="0EF22929"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102</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003D5A71" w14:textId="5255B26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114</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6383AC20" w14:textId="1000ECF6"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132</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6C4D01EE" w14:textId="25BD836F"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157</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E9EBF5"/>
            <w:vAlign w:val="center"/>
          </w:tcPr>
          <w:p w14:paraId="11A50347" w14:textId="0B1DDC33"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200</w:t>
            </w:r>
          </w:p>
        </w:tc>
      </w:tr>
      <w:tr w:rsidR="04C63FB9" w14:paraId="4AC6E0C2" w14:textId="77777777" w:rsidTr="04C63FB9">
        <w:trPr>
          <w:trHeight w:val="570"/>
        </w:trPr>
        <w:tc>
          <w:tcPr>
            <w:tcW w:w="126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4472C4" w:themeFill="accent5"/>
            <w:vAlign w:val="center"/>
          </w:tcPr>
          <w:p w14:paraId="783A2C3F" w14:textId="36D8D3E6"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b/>
                <w:bCs/>
                <w:color w:val="FFFFFF" w:themeColor="background1"/>
                <w:sz w:val="24"/>
                <w:szCs w:val="24"/>
              </w:rPr>
              <w:t>5.6</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4B90CB4E" w14:textId="5645D22E"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84</w:t>
            </w:r>
          </w:p>
        </w:tc>
        <w:tc>
          <w:tcPr>
            <w:tcW w:w="97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2BFD0742" w14:textId="7AC8DB1D"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90</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7D63C596" w14:textId="628C3CD4"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99</w:t>
            </w:r>
          </w:p>
        </w:tc>
        <w:tc>
          <w:tcPr>
            <w:tcW w:w="102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6CD37978" w14:textId="15A9956B"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110</w:t>
            </w:r>
          </w:p>
        </w:tc>
        <w:tc>
          <w:tcPr>
            <w:tcW w:w="103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750597CF" w14:textId="0EC87DDA"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124</w:t>
            </w:r>
          </w:p>
        </w:tc>
        <w:tc>
          <w:tcPr>
            <w:tcW w:w="915"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300B4F93" w14:textId="682D22C5" w:rsidR="04C63FB9" w:rsidRDefault="04C63FB9" w:rsidP="04C63FB9">
            <w:pPr>
              <w:spacing w:line="240" w:lineRule="exact"/>
              <w:jc w:val="center"/>
              <w:rPr>
                <w:rFonts w:ascii="Calibri" w:eastAsia="Calibri" w:hAnsi="Calibri" w:cs="Calibri"/>
                <w:sz w:val="24"/>
                <w:szCs w:val="24"/>
              </w:rPr>
            </w:pPr>
            <w:r w:rsidRPr="04C63FB9">
              <w:rPr>
                <w:rFonts w:ascii="Calibri" w:eastAsia="Calibri" w:hAnsi="Calibri" w:cs="Calibri"/>
                <w:sz w:val="24"/>
                <w:szCs w:val="24"/>
              </w:rPr>
              <w:t>146</w:t>
            </w:r>
          </w:p>
        </w:tc>
        <w:tc>
          <w:tcPr>
            <w:tcW w:w="990" w:type="dxa"/>
            <w:tcBorders>
              <w:top w:val="single" w:sz="7" w:space="0" w:color="FFFFFF" w:themeColor="background1"/>
              <w:left w:val="single" w:sz="7" w:space="0" w:color="FFFFFF" w:themeColor="background1"/>
              <w:bottom w:val="single" w:sz="7" w:space="0" w:color="FFFFFF" w:themeColor="background1"/>
              <w:right w:val="single" w:sz="7" w:space="0" w:color="FFFFFF" w:themeColor="background1"/>
            </w:tcBorders>
            <w:shd w:val="clear" w:color="auto" w:fill="CFD5EA"/>
            <w:vAlign w:val="center"/>
          </w:tcPr>
          <w:p w14:paraId="7274DEDE" w14:textId="5E553C79" w:rsidR="04C63FB9" w:rsidRDefault="04C63FB9" w:rsidP="04C63FB9">
            <w:pPr>
              <w:spacing w:line="240" w:lineRule="exact"/>
              <w:jc w:val="center"/>
              <w:rPr>
                <w:sz w:val="24"/>
                <w:szCs w:val="24"/>
              </w:rPr>
            </w:pPr>
            <w:r w:rsidRPr="04C63FB9">
              <w:rPr>
                <w:rFonts w:ascii="Calibri" w:eastAsia="Calibri" w:hAnsi="Calibri" w:cs="Calibri"/>
                <w:sz w:val="24"/>
                <w:szCs w:val="24"/>
              </w:rPr>
              <w:t>179</w:t>
            </w:r>
            <w:r w:rsidRPr="04C63FB9">
              <w:rPr>
                <w:sz w:val="24"/>
                <w:szCs w:val="24"/>
              </w:rPr>
              <w:t xml:space="preserve"> </w:t>
            </w:r>
          </w:p>
        </w:tc>
      </w:tr>
    </w:tbl>
    <w:p w14:paraId="6F38979B" w14:textId="0FA2F4A4" w:rsidR="00EE3DF0" w:rsidRDefault="4A0430F4" w:rsidP="00EE3DF0">
      <w:pPr>
        <w:pStyle w:val="Caption"/>
        <w:rPr>
          <w:b/>
          <w:bCs/>
        </w:rPr>
      </w:pPr>
      <w:r>
        <w:t xml:space="preserve">Table </w:t>
      </w:r>
      <w:r w:rsidR="00EE3DF0">
        <w:fldChar w:fldCharType="begin"/>
      </w:r>
      <w:r w:rsidR="00EE3DF0">
        <w:instrText>SEQ Table \* ARABIC</w:instrText>
      </w:r>
      <w:r w:rsidR="00EE3DF0">
        <w:fldChar w:fldCharType="separate"/>
      </w:r>
      <w:r w:rsidR="69D331E3">
        <w:rPr>
          <w:noProof/>
        </w:rPr>
        <w:t>1</w:t>
      </w:r>
      <w:r w:rsidR="00EE3DF0">
        <w:fldChar w:fldCharType="end"/>
      </w:r>
      <w:r>
        <w:t>: Sensitivity Analysis</w:t>
      </w:r>
    </w:p>
    <w:p w14:paraId="795686DA" w14:textId="667DC8FC" w:rsidR="0026213F" w:rsidRDefault="0DB2D948" w:rsidP="002B3647">
      <w:pPr>
        <w:ind w:left="-540" w:right="-450"/>
        <w:rPr>
          <w:b/>
          <w:bCs/>
        </w:rPr>
      </w:pPr>
      <w:r w:rsidRPr="00AA4C77">
        <w:rPr>
          <w:b/>
          <w:bCs/>
        </w:rPr>
        <w:t xml:space="preserve">Part II: </w:t>
      </w:r>
      <w:r w:rsidR="42088EB5" w:rsidRPr="00AA4C77">
        <w:rPr>
          <w:b/>
          <w:bCs/>
        </w:rPr>
        <w:t xml:space="preserve">Price </w:t>
      </w:r>
      <w:r w:rsidR="7CE39B04">
        <w:rPr>
          <w:b/>
          <w:bCs/>
        </w:rPr>
        <w:t xml:space="preserve">Estimate </w:t>
      </w:r>
      <w:r w:rsidR="42088EB5" w:rsidRPr="00AA4C77">
        <w:rPr>
          <w:b/>
          <w:bCs/>
        </w:rPr>
        <w:t xml:space="preserve">using </w:t>
      </w:r>
      <w:r w:rsidR="21EE339A">
        <w:rPr>
          <w:b/>
          <w:bCs/>
        </w:rPr>
        <w:t>Multiples</w:t>
      </w:r>
    </w:p>
    <w:p w14:paraId="0AE8DF7B" w14:textId="630C32AE" w:rsidR="001D3E1C" w:rsidRDefault="54AE5E06" w:rsidP="002B3647">
      <w:pPr>
        <w:ind w:left="-540" w:right="-450"/>
        <w:rPr>
          <w:color w:val="70AD47" w:themeColor="accent6"/>
        </w:rPr>
      </w:pPr>
      <w:r>
        <w:t xml:space="preserve">When using the multiples approach, </w:t>
      </w:r>
      <w:r w:rsidR="08C8B0C4">
        <w:t xml:space="preserve">we </w:t>
      </w:r>
      <w:r w:rsidR="2174237B">
        <w:t xml:space="preserve">get a </w:t>
      </w:r>
      <w:r w:rsidR="25173031">
        <w:t>forward price estimate of</w:t>
      </w:r>
      <w:r w:rsidR="2174237B">
        <w:t xml:space="preserve"> </w:t>
      </w:r>
      <w:r w:rsidR="738AE6D0" w:rsidRPr="3F3BF2F1">
        <w:rPr>
          <w:color w:val="70AD47" w:themeColor="accent6"/>
        </w:rPr>
        <w:t>$</w:t>
      </w:r>
      <w:r w:rsidR="00574A4D">
        <w:rPr>
          <w:color w:val="70AD47" w:themeColor="accent6"/>
        </w:rPr>
        <w:t>83-$95</w:t>
      </w:r>
      <w:r w:rsidR="722EAAB0">
        <w:t xml:space="preserve">. </w:t>
      </w:r>
      <w:r w:rsidR="71AE6E56">
        <w:t>At</w:t>
      </w:r>
      <w:r w:rsidR="722EAAB0">
        <w:t xml:space="preserve"> year-end 2019 MRK was trading at a P/E multiple of 13</w:t>
      </w:r>
      <w:r w:rsidR="6011F77A">
        <w:t>x</w:t>
      </w:r>
      <w:r w:rsidR="722EAAB0">
        <w:t xml:space="preserve"> while</w:t>
      </w:r>
      <w:r w:rsidR="6011F77A">
        <w:t xml:space="preserve"> the majority of its competitors were trading at multiples of 16-20x. </w:t>
      </w:r>
      <w:r w:rsidR="3B33D268">
        <w:t xml:space="preserve">The only companies </w:t>
      </w:r>
      <w:r w:rsidR="0876D9EC">
        <w:t xml:space="preserve">who </w:t>
      </w:r>
      <w:r w:rsidR="3B33D268">
        <w:t xml:space="preserve">had higher revenues </w:t>
      </w:r>
      <w:r w:rsidR="0876D9EC">
        <w:t xml:space="preserve">in 2019 </w:t>
      </w:r>
      <w:r w:rsidR="3B33D268">
        <w:t xml:space="preserve">were </w:t>
      </w:r>
      <w:r w:rsidR="3D2A0A1E">
        <w:t>Pfizer and Nova</w:t>
      </w:r>
      <w:r w:rsidR="0E8868A8">
        <w:t xml:space="preserve">rtis. </w:t>
      </w:r>
      <w:r w:rsidR="3C32CE5A">
        <w:t xml:space="preserve">Novartis trading </w:t>
      </w:r>
      <w:r w:rsidR="7108C091">
        <w:t xml:space="preserve">17.5x and Pfizer 14.4x. </w:t>
      </w:r>
      <w:r w:rsidR="3369990E">
        <w:t xml:space="preserve">MRK projected </w:t>
      </w:r>
      <w:r w:rsidR="607881D4">
        <w:t xml:space="preserve">2020 EPS is </w:t>
      </w:r>
      <w:r w:rsidR="356AF298">
        <w:t xml:space="preserve">$5.91 and we feel that they should be trading at similar multiples as their peers. Assigning them a conservative multiple of </w:t>
      </w:r>
      <w:r w:rsidR="04AAA9C3">
        <w:t>1</w:t>
      </w:r>
      <w:r w:rsidR="311ABD70">
        <w:t>6</w:t>
      </w:r>
      <w:r w:rsidR="04AAA9C3">
        <w:t xml:space="preserve">x brings us to </w:t>
      </w:r>
      <w:r w:rsidR="3661931A">
        <w:t xml:space="preserve">a price estimate of </w:t>
      </w:r>
      <w:r w:rsidR="005127F5">
        <w:t xml:space="preserve">range </w:t>
      </w:r>
      <w:r w:rsidR="005127F5" w:rsidRPr="3F3BF2F1">
        <w:rPr>
          <w:color w:val="70AD47" w:themeColor="accent6"/>
        </w:rPr>
        <w:t>$</w:t>
      </w:r>
      <w:r w:rsidR="005127F5">
        <w:rPr>
          <w:color w:val="70AD47" w:themeColor="accent6"/>
        </w:rPr>
        <w:t>83-$95</w:t>
      </w:r>
      <w:r w:rsidR="738AE6D0" w:rsidRPr="3F3BF2F1">
        <w:rPr>
          <w:color w:val="70AD47" w:themeColor="accent6"/>
        </w:rPr>
        <w:t>.</w:t>
      </w:r>
    </w:p>
    <w:p w14:paraId="0E025794" w14:textId="77777777" w:rsidR="00F0592E" w:rsidRPr="006C24DF" w:rsidRDefault="00F0592E" w:rsidP="002B3647">
      <w:pPr>
        <w:ind w:left="-540" w:right="-450"/>
      </w:pPr>
    </w:p>
    <w:p w14:paraId="0767D303" w14:textId="3D4A76B3" w:rsidR="003C49C9" w:rsidRDefault="003C49C9" w:rsidP="002B3647">
      <w:pPr>
        <w:ind w:left="-540" w:right="-450"/>
        <w:rPr>
          <w:b/>
          <w:bCs/>
        </w:rPr>
      </w:pPr>
      <w:r>
        <w:rPr>
          <w:b/>
          <w:bCs/>
        </w:rPr>
        <w:t xml:space="preserve">Part III: </w:t>
      </w:r>
      <w:r w:rsidR="0071121C">
        <w:rPr>
          <w:b/>
          <w:bCs/>
        </w:rPr>
        <w:t xml:space="preserve">Weighted Price Estimate: </w:t>
      </w:r>
    </w:p>
    <w:p w14:paraId="7D984649" w14:textId="167E7BA9" w:rsidR="00AA4C77" w:rsidRPr="00D33E20" w:rsidRDefault="7826886C" w:rsidP="002B3647">
      <w:pPr>
        <w:ind w:left="-540" w:right="-450"/>
        <w:rPr>
          <w:color w:val="000000" w:themeColor="text1"/>
        </w:rPr>
      </w:pPr>
      <w:r>
        <w:t xml:space="preserve">We assigned a weight to each price estimate and came up with a final price estimate </w:t>
      </w:r>
      <w:r w:rsidR="2A0FDC86">
        <w:t xml:space="preserve">range </w:t>
      </w:r>
      <w:r>
        <w:t xml:space="preserve">of </w:t>
      </w:r>
      <w:r w:rsidR="1DF833BA" w:rsidRPr="04C63FB9">
        <w:rPr>
          <w:color w:val="70AD47" w:themeColor="accent6"/>
        </w:rPr>
        <w:t>$</w:t>
      </w:r>
      <w:r w:rsidR="2A0FDC86" w:rsidRPr="04C63FB9">
        <w:rPr>
          <w:color w:val="70AD47" w:themeColor="accent6"/>
        </w:rPr>
        <w:t>92-$11</w:t>
      </w:r>
      <w:r w:rsidR="13AF10CA" w:rsidRPr="04C63FB9">
        <w:rPr>
          <w:color w:val="70AD47" w:themeColor="accent6"/>
        </w:rPr>
        <w:t>8</w:t>
      </w:r>
      <w:r w:rsidR="1DF833BA" w:rsidRPr="04C63FB9">
        <w:rPr>
          <w:color w:val="70AD47" w:themeColor="accent6"/>
        </w:rPr>
        <w:t xml:space="preserve">. </w:t>
      </w:r>
      <w:r w:rsidR="1DF833BA" w:rsidRPr="04C63FB9">
        <w:rPr>
          <w:color w:val="000000" w:themeColor="text1"/>
        </w:rPr>
        <w:t xml:space="preserve">We assigned the multiples pricing estimate with </w:t>
      </w:r>
      <w:r w:rsidR="1DD779D5" w:rsidRPr="04C63FB9">
        <w:rPr>
          <w:color w:val="000000" w:themeColor="text1"/>
        </w:rPr>
        <w:t>a weight of 65%</w:t>
      </w:r>
      <w:r w:rsidR="357580B9" w:rsidRPr="04C63FB9">
        <w:rPr>
          <w:color w:val="000000" w:themeColor="text1"/>
        </w:rPr>
        <w:t xml:space="preserve"> and DCF </w:t>
      </w:r>
      <w:r w:rsidR="1DD779D5" w:rsidRPr="04C63FB9">
        <w:rPr>
          <w:color w:val="000000" w:themeColor="text1"/>
        </w:rPr>
        <w:t xml:space="preserve">of </w:t>
      </w:r>
      <w:r w:rsidR="357580B9" w:rsidRPr="04C63FB9">
        <w:rPr>
          <w:color w:val="000000" w:themeColor="text1"/>
        </w:rPr>
        <w:t xml:space="preserve">35%. </w:t>
      </w:r>
    </w:p>
    <w:p w14:paraId="071B6C1E" w14:textId="35D969F6" w:rsidR="00AA4C77" w:rsidRPr="00AA4C77" w:rsidRDefault="00AA4C77" w:rsidP="002B3647">
      <w:pPr>
        <w:ind w:left="-540" w:right="-450"/>
        <w:rPr>
          <w:b/>
          <w:bCs/>
        </w:rPr>
      </w:pPr>
    </w:p>
    <w:p w14:paraId="7840623D" w14:textId="2F3AEB55" w:rsidR="009260BC" w:rsidRDefault="009260BC" w:rsidP="009260BC">
      <w:pPr>
        <w:pStyle w:val="Heading1"/>
        <w:ind w:left="-540" w:right="-450"/>
      </w:pPr>
      <w:r>
        <w:t>Risks</w:t>
      </w:r>
    </w:p>
    <w:p w14:paraId="5905BDB0" w14:textId="77777777" w:rsidR="009260BC" w:rsidRDefault="009260BC" w:rsidP="009260BC">
      <w:pPr>
        <w:pStyle w:val="Heading2"/>
        <w:ind w:left="-540" w:right="-450"/>
      </w:pPr>
      <w:r>
        <w:t>Dependency on Keytruda</w:t>
      </w:r>
    </w:p>
    <w:p w14:paraId="4C4AE8C5" w14:textId="77777777" w:rsidR="009260BC" w:rsidRDefault="009260BC" w:rsidP="009260BC">
      <w:pPr>
        <w:ind w:left="-540" w:right="-450"/>
      </w:pPr>
      <w:r>
        <w:t>Merck made an important breakthrough with its development in Keytruda. It has quickly become one of the most recognizable cancer treatments on the market. It has only gained more ground since being introduced to the market as Merck continues to test its ability for treating more cancers both individually and paired with other drugs. It is important that Merck continues to maximize Keytruda’s potential as its future pipeline looks a little uncertain from now until 2023. Not to say that Keytruda is not the only successful product they have on the market; other drugs like Gardasil, and the agreement of Lynparza with AstraZeneca are also good forms of income. The concern however is that the growing dependency on Keytruda’s further success may damage the company if problems in research were to occur. Merck has been making significant investments in its future pipeline as well as acquiring more companies to diversify products and services, but if the problem is left unchecked Merck may struggle.</w:t>
      </w:r>
    </w:p>
    <w:p w14:paraId="133FC6E3" w14:textId="77777777" w:rsidR="00AA4C77" w:rsidRDefault="00AA4C77" w:rsidP="009260BC">
      <w:pPr>
        <w:ind w:left="-540" w:right="-450"/>
      </w:pPr>
    </w:p>
    <w:p w14:paraId="70D0B39E" w14:textId="77777777" w:rsidR="009260BC" w:rsidRDefault="009260BC" w:rsidP="009260BC">
      <w:pPr>
        <w:pStyle w:val="Heading2"/>
        <w:ind w:left="-540" w:right="-450"/>
      </w:pPr>
      <w:r>
        <w:t>Capacity Limitations</w:t>
      </w:r>
    </w:p>
    <w:p w14:paraId="11879D60" w14:textId="6838C0CC" w:rsidR="009260BC" w:rsidRDefault="5245DF1E" w:rsidP="009260BC">
      <w:pPr>
        <w:ind w:left="-540" w:right="-450"/>
      </w:pPr>
      <w:r>
        <w:t xml:space="preserve">Merk’s vaccine Gardasil, used to treat HPV, has seen recent success. It is being used more in international markets, the age range of those who would benefit from receiving the vaccine, and the removal of its one key competitor, </w:t>
      </w:r>
      <w:proofErr w:type="spellStart"/>
      <w:r>
        <w:t>Cervarix</w:t>
      </w:r>
      <w:proofErr w:type="spellEnd"/>
      <w:r>
        <w:t xml:space="preserve">, are what has essentially given Gardasil a monopoly on the market for the moment. The only problem right now </w:t>
      </w:r>
      <w:r w:rsidR="2418D69E">
        <w:t>are</w:t>
      </w:r>
      <w:r>
        <w:t xml:space="preserve"> the limitations on its ability to meet demand regarding manufacturing limitations. Current estimations indicate that supply may be constrained until 2023. However, Merck has been making moves to remedy that problem through the recent acquisition of Takeda Dunboyne Biologics Ltd. to grow its manufacturing network. If this problem goes unaddressed, then Merck will be missing out on the potential success that Gardasil could have, and a more effective HPV vaccine may take its place before benefits are realized.</w:t>
      </w:r>
    </w:p>
    <w:p w14:paraId="557A2CE5" w14:textId="77777777" w:rsidR="00AA4C77" w:rsidRDefault="00AA4C77" w:rsidP="009260BC">
      <w:pPr>
        <w:ind w:left="-540" w:right="-450"/>
      </w:pPr>
    </w:p>
    <w:p w14:paraId="1AAD31C9" w14:textId="77777777" w:rsidR="009260BC" w:rsidRDefault="009260BC" w:rsidP="009260BC">
      <w:pPr>
        <w:pStyle w:val="Heading2"/>
        <w:ind w:left="-540" w:right="-450"/>
        <w:rPr>
          <w:rFonts w:eastAsiaTheme="minorEastAsia"/>
        </w:rPr>
      </w:pPr>
      <w:r>
        <w:t>Pipeline Efficiency &amp; Patents</w:t>
      </w:r>
    </w:p>
    <w:p w14:paraId="015BB18F" w14:textId="77777777" w:rsidR="009260BC" w:rsidRDefault="009260BC" w:rsidP="009260BC">
      <w:pPr>
        <w:ind w:left="-540" w:right="-450"/>
      </w:pPr>
      <w:r>
        <w:t>Lately Merck’s pipeline has appeared to become stagnant with its primary focus being on Keytruda’s success. Merck cannot be faulted for attempting to maximize the utility of Keytruda. By expanding research to discover all its effective applications, that allows Merck to maximize Keytruda's potential before its patent expires in 2028. This does lead to some concern of what the company will do when that expiration occurs. However, recent activity by Merck is promising with the recent addition of new companies acquired in the last two years. That brings in more resources and avenues of research to continue to innovate and bring new product to market. There is also the benefit of overlapping timelines with expectations of an active pipeline in 2023 and Keytruda’s expiration in 2028. The pipeline may also be less of a concern as Merck is also improving its manufacturing network to capitalize on other products like Gardasil. Further research on developing products show there are notable drugs in the testing phase, but until they have been fully authorized, there are no guarantees yet.</w:t>
      </w:r>
    </w:p>
    <w:p w14:paraId="21F20D70" w14:textId="77777777" w:rsidR="00AA4C77" w:rsidRDefault="00AA4C77" w:rsidP="009260BC">
      <w:pPr>
        <w:ind w:left="-540" w:right="-450"/>
      </w:pPr>
    </w:p>
    <w:p w14:paraId="35B75DA4" w14:textId="77777777" w:rsidR="009260BC" w:rsidRDefault="009260BC" w:rsidP="009260BC">
      <w:pPr>
        <w:pStyle w:val="Heading2"/>
        <w:ind w:left="-540" w:right="-450"/>
      </w:pPr>
      <w:r>
        <w:t>Exchange Rate Risk</w:t>
      </w:r>
    </w:p>
    <w:p w14:paraId="56903A3D" w14:textId="64FCCCEB" w:rsidR="000B0E9B" w:rsidRDefault="009260BC" w:rsidP="000B0E9B">
      <w:pPr>
        <w:ind w:left="-540" w:right="-450"/>
      </w:pPr>
      <w:r>
        <w:t xml:space="preserve">Because Merck &amp; Co. </w:t>
      </w:r>
      <w:r w:rsidR="5FB2827B">
        <w:t>i</w:t>
      </w:r>
      <w:r>
        <w:t xml:space="preserve">s a multinational corporation (MNC), </w:t>
      </w:r>
      <w:proofErr w:type="gramStart"/>
      <w:r>
        <w:t>they’re</w:t>
      </w:r>
      <w:proofErr w:type="gramEnd"/>
      <w:r>
        <w:t xml:space="preserve"> exposed to foreign exchange rate risk. The US market accounts for 45% of sales, EMEA (Europe, Middle East, and Africa) region accounts for 25%, Japan for 10%, and China the remaining 5%.  Merck historically has been very successful at hedging exchange rate risks. Generally, Merck is 80-90% hedged. We expect the CFO Robert Davis to continue this conservative strategy, especially with the uncertainty surrounding the USD right now.</w:t>
      </w:r>
    </w:p>
    <w:p w14:paraId="6673F449" w14:textId="77777777" w:rsidR="000B0E9B" w:rsidRDefault="000B0E9B" w:rsidP="002F342A">
      <w:pPr>
        <w:pStyle w:val="Heading2"/>
        <w:ind w:left="-540"/>
      </w:pPr>
    </w:p>
    <w:p w14:paraId="76171D69" w14:textId="77777777" w:rsidR="00034AB8" w:rsidRPr="00034AB8" w:rsidRDefault="009260BC" w:rsidP="002F342A">
      <w:pPr>
        <w:pStyle w:val="Heading2"/>
        <w:ind w:left="-540"/>
      </w:pPr>
      <w:r>
        <w:t xml:space="preserve">Covid-19 and 2020 U.S. Presidential Election </w:t>
      </w:r>
    </w:p>
    <w:p w14:paraId="1F4A1B80" w14:textId="4713173B" w:rsidR="5FA4BFC0" w:rsidRDefault="592AE9E4" w:rsidP="00C07580">
      <w:pPr>
        <w:ind w:left="-540"/>
      </w:pPr>
      <w:r>
        <w:t xml:space="preserve">As previously mentioned, Merck is developing several vaccines </w:t>
      </w:r>
      <w:r w:rsidR="7EFB7348">
        <w:t>attempting</w:t>
      </w:r>
      <w:r>
        <w:t xml:space="preserve"> to </w:t>
      </w:r>
      <w:r w:rsidR="7EFB7348">
        <w:t xml:space="preserve">become the best vaccine for Covid-19 with late entry knowledge. </w:t>
      </w:r>
      <w:r w:rsidR="574393FF">
        <w:t>It is in a sense, trying to make the most out of a bad situation</w:t>
      </w:r>
      <w:r w:rsidR="7AFBBB40">
        <w:t xml:space="preserve">. Overall, Covid-19 has caused the market to become more volatile and is reflected in expectations that </w:t>
      </w:r>
      <w:r w:rsidR="6FEA17B8">
        <w:t xml:space="preserve">potential customers may elect to </w:t>
      </w:r>
      <w:r w:rsidR="0F51A5DE">
        <w:t xml:space="preserve">wait until conditions are safer on nonessential services and products. </w:t>
      </w:r>
      <w:r w:rsidR="458A9E86">
        <w:t xml:space="preserve">However, in terms of its subsector competition, this is a burden affecting everyone. </w:t>
      </w:r>
      <w:r w:rsidR="534015D3">
        <w:t xml:space="preserve">With the 2020 U.S. presidential election nearing, there is not a lot expected for risks regarding the initial outcome. </w:t>
      </w:r>
      <w:r w:rsidR="3AF4E866">
        <w:t>Any</w:t>
      </w:r>
      <w:r w:rsidR="6B99C613">
        <w:t xml:space="preserve"> health care reform will most likely take time be</w:t>
      </w:r>
      <w:r w:rsidR="3B138CA2">
        <w:t>fore anything is finalized</w:t>
      </w:r>
      <w:r w:rsidR="38E2131F">
        <w:t xml:space="preserve"> and can be adjusted for as that information becomes available.</w:t>
      </w:r>
    </w:p>
    <w:p w14:paraId="6FD02A85" w14:textId="77777777" w:rsidR="009260BC" w:rsidRDefault="009260BC" w:rsidP="009260BC">
      <w:pPr>
        <w:pStyle w:val="Heading1"/>
        <w:ind w:left="-540" w:right="-450"/>
      </w:pPr>
      <w:r>
        <w:t>Management &amp; Board</w:t>
      </w:r>
    </w:p>
    <w:p w14:paraId="1FFC2761" w14:textId="77777777" w:rsidR="009260BC" w:rsidRDefault="009260BC" w:rsidP="009260BC">
      <w:pPr>
        <w:pStyle w:val="Heading2"/>
        <w:ind w:left="-540" w:right="-450"/>
      </w:pPr>
      <w:r>
        <w:t>Kenneth C. Frazier – Chairman of the board and chief executive officer</w:t>
      </w:r>
    </w:p>
    <w:p w14:paraId="277F7FD8" w14:textId="77777777" w:rsidR="009260BC" w:rsidRDefault="009260BC" w:rsidP="009260BC">
      <w:pPr>
        <w:ind w:left="-540" w:right="-450"/>
      </w:pPr>
      <w:r>
        <w:t xml:space="preserve">Kenneth is one of the driving forces responsible for Merck’s dedication to its substantial investments into its research. He has been with the company since 1992 taking on more responsibilities over the years where he became chairman of the board and chief executive officer in 2011. He is active in many other organizations such as PhRMA and Weill Cornell Medicine to name a few. </w:t>
      </w:r>
    </w:p>
    <w:p w14:paraId="61583F82" w14:textId="77777777" w:rsidR="009260BC" w:rsidRDefault="009260BC" w:rsidP="009260BC">
      <w:pPr>
        <w:ind w:left="-540" w:right="-450"/>
      </w:pPr>
      <w:r>
        <w:t>*1992-present = 28 years with Merck, Age: 65</w:t>
      </w:r>
    </w:p>
    <w:p w14:paraId="1533F6B7" w14:textId="77777777" w:rsidR="00AA4C77" w:rsidRDefault="00AA4C77" w:rsidP="009260BC">
      <w:pPr>
        <w:ind w:left="-540" w:right="-450"/>
      </w:pPr>
    </w:p>
    <w:p w14:paraId="1189475B" w14:textId="77777777" w:rsidR="009260BC" w:rsidRDefault="009260BC" w:rsidP="009260BC">
      <w:pPr>
        <w:pStyle w:val="Heading2"/>
        <w:ind w:left="-540" w:right="-450"/>
      </w:pPr>
      <w:r>
        <w:t xml:space="preserve">Robert M. Davis – Executive vice president, global </w:t>
      </w:r>
      <w:proofErr w:type="gramStart"/>
      <w:r>
        <w:t>services</w:t>
      </w:r>
      <w:proofErr w:type="gramEnd"/>
      <w:r>
        <w:t xml:space="preserve"> and chief financial officer</w:t>
      </w:r>
    </w:p>
    <w:p w14:paraId="5A831B77" w14:textId="1541956A" w:rsidR="009260BC" w:rsidRDefault="182526AD" w:rsidP="009260BC">
      <w:pPr>
        <w:ind w:left="-540" w:right="-450"/>
      </w:pPr>
      <w:r>
        <w:t xml:space="preserve">Rob has had an extensive career in the health care sector, being a part of companies like Baxter International Inc. and Eli Lilly &amp; Company before coming to Merk as the company’s CFO in 2014 and then grew his responsibilities again in 2016. Those responsibilities involve corporate strategy but dive deeper into finance, IT, and real estate operations. </w:t>
      </w:r>
    </w:p>
    <w:p w14:paraId="72C180EA" w14:textId="77777777" w:rsidR="009260BC" w:rsidRDefault="009260BC" w:rsidP="009260BC">
      <w:pPr>
        <w:ind w:left="-540" w:right="-450"/>
      </w:pPr>
      <w:r>
        <w:t>*1990 – Present = 30 years relevant experience, Age: 53</w:t>
      </w:r>
    </w:p>
    <w:p w14:paraId="7A362CC2" w14:textId="77777777" w:rsidR="00AA4C77" w:rsidRDefault="00AA4C77" w:rsidP="009260BC">
      <w:pPr>
        <w:ind w:left="-540" w:right="-450"/>
      </w:pPr>
    </w:p>
    <w:p w14:paraId="047B854D" w14:textId="77777777" w:rsidR="009260BC" w:rsidRDefault="009260BC" w:rsidP="009260BC">
      <w:pPr>
        <w:pStyle w:val="Heading2"/>
        <w:ind w:left="-540" w:right="-450"/>
      </w:pPr>
      <w:r>
        <w:t>Dr. Roger M. Perlmutter – Executive vice president and president, Merck Research Laboratories</w:t>
      </w:r>
    </w:p>
    <w:p w14:paraId="11B58ADB" w14:textId="77777777" w:rsidR="009260BC" w:rsidRDefault="009260BC" w:rsidP="009260BC">
      <w:pPr>
        <w:ind w:left="-540" w:right="-450"/>
      </w:pPr>
      <w:r>
        <w:t>Roger is currently an executive vice president and president of Merck Research Laboratories. He worked with Merk back from 1997-2001 in the research laboratories with increasing responsibility but left in 2001 to work with Amgen as head of R&amp;D and various other biotech companies. He returned in 2013 to accept his current roles. He will be succeeded by Dr. Dean Y. Li on January 1</w:t>
      </w:r>
      <w:r w:rsidRPr="18695586">
        <w:rPr>
          <w:vertAlign w:val="superscript"/>
        </w:rPr>
        <w:t>st</w:t>
      </w:r>
      <w:r>
        <w:t>, 2021. In his time, he has helped reinvigorate the research and development department within Merck and has been a part of over 100 regulatory approvals in that time with one of the crowning achievements being that of the introduction of Keytruda.</w:t>
      </w:r>
    </w:p>
    <w:p w14:paraId="7C9CA9A7" w14:textId="77777777" w:rsidR="009260BC" w:rsidRDefault="009260BC" w:rsidP="009260BC">
      <w:pPr>
        <w:ind w:left="-540" w:right="-450"/>
      </w:pPr>
      <w:r>
        <w:t>*1984 – Present = 36 years of experience in medicine and biochemistry, Age: 68</w:t>
      </w:r>
    </w:p>
    <w:p w14:paraId="7E960129" w14:textId="77777777" w:rsidR="00AA4C77" w:rsidRDefault="00AA4C77" w:rsidP="009260BC">
      <w:pPr>
        <w:ind w:left="-540" w:right="-450"/>
      </w:pPr>
    </w:p>
    <w:p w14:paraId="2125716B" w14:textId="77777777" w:rsidR="009260BC" w:rsidRDefault="009260BC" w:rsidP="009260BC">
      <w:pPr>
        <w:pStyle w:val="Heading2"/>
        <w:ind w:left="-540" w:right="-450"/>
      </w:pPr>
      <w:r>
        <w:t>Dr. Dean Y. Li – Senior Vice President of Discovery Sciences and Translational Medicine, MRL and future successor of Dr. Roger M. Perlmutter</w:t>
      </w:r>
    </w:p>
    <w:p w14:paraId="347CD230" w14:textId="77777777" w:rsidR="00E7089E" w:rsidRPr="00E7089E" w:rsidRDefault="009260BC" w:rsidP="00E7089E">
      <w:pPr>
        <w:ind w:left="-540" w:right="-450"/>
      </w:pPr>
      <w:r>
        <w:t>Dean Li prior to being a part of Merck in 2017 had various leadership roles in education such as Chief Scientific Officer, Associate Vice President, and Dean at the University of Utah Health System. He has also co-founded several biotech companies. His tenure relative to other executives in the company has been shorter but he has proven his abilities by growing discovery and translational medicine capabilities, as well as progressing Merck’s pipeline.</w:t>
      </w:r>
    </w:p>
    <w:p w14:paraId="57C87BE8" w14:textId="254BAFEC" w:rsidR="2B1BA9DB" w:rsidRDefault="2B1BA9DB" w:rsidP="04163871">
      <w:pPr>
        <w:ind w:left="-540" w:right="-450"/>
      </w:pPr>
      <w:r>
        <w:t xml:space="preserve">*26 years of experience in </w:t>
      </w:r>
      <w:r w:rsidR="087AD1EA">
        <w:t>medicine and biochemistry</w:t>
      </w:r>
    </w:p>
    <w:p w14:paraId="4E9EF0BF" w14:textId="55D1AE83" w:rsidR="00C06ED0" w:rsidRDefault="009260BC" w:rsidP="00C06ED0">
      <w:pPr>
        <w:pStyle w:val="Heading1"/>
        <w:ind w:left="-540" w:right="-450"/>
      </w:pPr>
      <w:r>
        <w:t xml:space="preserve">Peer </w:t>
      </w:r>
      <w:r w:rsidR="79B117A4">
        <w:t>A</w:t>
      </w:r>
      <w:r>
        <w:t>nalysis</w:t>
      </w:r>
    </w:p>
    <w:p w14:paraId="257C9887" w14:textId="135B3D31" w:rsidR="005A554B" w:rsidRPr="00260D2D" w:rsidRDefault="007D5837" w:rsidP="00260D2D">
      <w:pPr>
        <w:ind w:left="-540"/>
        <w:rPr>
          <w:rFonts w:eastAsia="Times New Roman" w:cstheme="majorHAnsi"/>
          <w:color w:val="000000"/>
          <w:position w:val="2"/>
        </w:rPr>
      </w:pPr>
      <w:r w:rsidRPr="007D5837">
        <w:rPr>
          <w:rFonts w:eastAsia="Times New Roman" w:cstheme="majorHAnsi"/>
          <w:color w:val="000000"/>
          <w:position w:val="2"/>
        </w:rPr>
        <w:t>When looking at valuation ratios vs. competitors, MRK is trading on the lowest PE while providing the highest return on equity. Another factor to consider is its economic value (EV) relative to EBIT &amp; EBITDA. MRK sits around the industry average for EV but has the highest EBIT &amp; EBITDA. Free cash flow has been efficiently managed even with consistently high R&amp;D expenses relative to competitors. While having success managing FCF and R&amp;D exp, MRK has executed 16 M&amp;A deals over the past 4 quarters.</w:t>
      </w:r>
      <w:r w:rsidR="00E24321" w:rsidRPr="00260D2D">
        <w:rPr>
          <w:rFonts w:eastAsia="Times New Roman" w:cstheme="majorHAnsi"/>
          <w:color w:val="000000"/>
          <w:position w:val="2"/>
        </w:rPr>
        <w:t xml:space="preserve"> The following table summarizes a comparison of Merck &amp; Co. </w:t>
      </w:r>
      <w:r w:rsidR="005A554B" w:rsidRPr="00260D2D">
        <w:rPr>
          <w:rFonts w:eastAsia="Times New Roman" w:cstheme="majorHAnsi"/>
          <w:color w:val="000000"/>
          <w:position w:val="2"/>
        </w:rPr>
        <w:t>v</w:t>
      </w:r>
      <w:r w:rsidR="00E24321" w:rsidRPr="00260D2D">
        <w:rPr>
          <w:rFonts w:eastAsia="Times New Roman" w:cstheme="majorHAnsi"/>
          <w:color w:val="000000"/>
          <w:position w:val="2"/>
        </w:rPr>
        <w:t>s. its top competitors</w:t>
      </w:r>
      <w:r w:rsidR="00F63AE0" w:rsidRPr="00260D2D">
        <w:rPr>
          <w:rFonts w:eastAsia="Times New Roman" w:cstheme="majorHAnsi"/>
          <w:color w:val="000000"/>
          <w:position w:val="2"/>
        </w:rPr>
        <w:t>.</w:t>
      </w:r>
    </w:p>
    <w:p w14:paraId="2D96010F" w14:textId="77777777" w:rsidR="005A554B" w:rsidRDefault="005A554B" w:rsidP="00E24321">
      <w:pPr>
        <w:spacing w:line="276" w:lineRule="auto"/>
        <w:ind w:left="-540"/>
        <w:rPr>
          <w:rFonts w:ascii="Calibri" w:eastAsia="Times New Roman" w:hAnsi="Calibri" w:cs="Calibri"/>
          <w:color w:val="000000"/>
          <w:position w:val="2"/>
        </w:rPr>
      </w:pPr>
    </w:p>
    <w:p w14:paraId="25CBA629" w14:textId="1A053EA4" w:rsidR="005A554B" w:rsidRPr="007D5837" w:rsidRDefault="005A554B" w:rsidP="005A554B">
      <w:pPr>
        <w:pStyle w:val="Caption"/>
        <w:rPr>
          <w:rFonts w:ascii="Calibri" w:eastAsia="Times New Roman" w:hAnsi="Calibri" w:cs="Calibri"/>
          <w:color w:val="000000"/>
          <w:position w:val="2"/>
          <w:sz w:val="22"/>
          <w:szCs w:val="22"/>
        </w:rPr>
      </w:pPr>
      <w:r>
        <w:t xml:space="preserve">Table </w:t>
      </w:r>
      <w:r>
        <w:fldChar w:fldCharType="begin"/>
      </w:r>
      <w:r>
        <w:instrText>SEQ Table \* ARABIC</w:instrText>
      </w:r>
      <w:r>
        <w:fldChar w:fldCharType="separate"/>
      </w:r>
      <w:r w:rsidR="00FE61EB">
        <w:rPr>
          <w:noProof/>
        </w:rPr>
        <w:t>2</w:t>
      </w:r>
      <w:r>
        <w:fldChar w:fldCharType="end"/>
      </w:r>
      <w:r>
        <w:t>: Merck &amp; Co. vs. Top Competitors</w:t>
      </w:r>
    </w:p>
    <w:p w14:paraId="4313AABB" w14:textId="7DF4D244" w:rsidR="4E1F8803" w:rsidRDefault="00C5302B" w:rsidP="00000BD2">
      <w:pPr>
        <w:ind w:left="-720"/>
        <w:jc w:val="center"/>
      </w:pPr>
      <w:r>
        <w:rPr>
          <w:noProof/>
        </w:rPr>
        <w:drawing>
          <wp:inline distT="0" distB="0" distL="0" distR="0" wp14:anchorId="63910353" wp14:editId="48285683">
            <wp:extent cx="6527549" cy="217136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8350" t="12023" r="9150" b="66772"/>
                    <a:stretch/>
                  </pic:blipFill>
                  <pic:spPr bwMode="auto">
                    <a:xfrm>
                      <a:off x="0" y="0"/>
                      <a:ext cx="6569022" cy="2185159"/>
                    </a:xfrm>
                    <a:prstGeom prst="rect">
                      <a:avLst/>
                    </a:prstGeom>
                    <a:ln>
                      <a:noFill/>
                    </a:ln>
                    <a:extLst>
                      <a:ext uri="{53640926-AAD7-44D8-BBD7-CCE9431645EC}">
                        <a14:shadowObscured xmlns:a14="http://schemas.microsoft.com/office/drawing/2010/main"/>
                      </a:ext>
                    </a:extLst>
                  </pic:spPr>
                </pic:pic>
              </a:graphicData>
            </a:graphic>
          </wp:inline>
        </w:drawing>
      </w:r>
    </w:p>
    <w:p w14:paraId="366C231D" w14:textId="77777777" w:rsidR="00000BD2" w:rsidRDefault="00000BD2" w:rsidP="00000BD2">
      <w:pPr>
        <w:ind w:left="-720"/>
        <w:jc w:val="center"/>
      </w:pPr>
    </w:p>
    <w:p w14:paraId="2C0633BB" w14:textId="77777777" w:rsidR="00000BD2" w:rsidRDefault="00000BD2" w:rsidP="00000BD2">
      <w:pPr>
        <w:ind w:left="-720"/>
        <w:jc w:val="center"/>
      </w:pPr>
    </w:p>
    <w:p w14:paraId="73BB4231" w14:textId="4935F236" w:rsidR="00D06C1D" w:rsidRPr="00D06C1D" w:rsidRDefault="009260BC" w:rsidP="00D06C1D">
      <w:pPr>
        <w:pStyle w:val="Heading1"/>
        <w:ind w:left="-540" w:right="-450"/>
      </w:pPr>
      <w:r>
        <w:t xml:space="preserve">Ownership of </w:t>
      </w:r>
      <w:r w:rsidR="162A88C8">
        <w:t>S</w:t>
      </w:r>
      <w:r>
        <w:t>hares</w:t>
      </w:r>
    </w:p>
    <w:tbl>
      <w:tblPr>
        <w:tblStyle w:val="TableGrid"/>
        <w:tblpPr w:leftFromText="180" w:rightFromText="180" w:vertAnchor="text" w:horzAnchor="margin" w:tblpY="3102"/>
        <w:tblOverlap w:val="never"/>
        <w:tblW w:w="4515" w:type="dxa"/>
        <w:tblLayout w:type="fixed"/>
        <w:tblLook w:val="06A0" w:firstRow="1" w:lastRow="0" w:firstColumn="1" w:lastColumn="0" w:noHBand="1" w:noVBand="1"/>
      </w:tblPr>
      <w:tblGrid>
        <w:gridCol w:w="3315"/>
        <w:gridCol w:w="1200"/>
      </w:tblGrid>
      <w:tr w:rsidR="00666CAE" w14:paraId="337FB07A" w14:textId="77777777" w:rsidTr="00666CAE">
        <w:trPr>
          <w:trHeight w:val="300"/>
        </w:trPr>
        <w:tc>
          <w:tcPr>
            <w:tcW w:w="3315" w:type="dxa"/>
          </w:tcPr>
          <w:p w14:paraId="20CBCCB0" w14:textId="77777777" w:rsidR="00666CAE" w:rsidRDefault="00666CAE" w:rsidP="00666CAE">
            <w:pPr>
              <w:rPr>
                <w:rFonts w:ascii="Calibri" w:eastAsia="Calibri" w:hAnsi="Calibri" w:cs="Calibri"/>
                <w:b/>
                <w:color w:val="000000" w:themeColor="text1"/>
              </w:rPr>
            </w:pPr>
            <w:r w:rsidRPr="58010882">
              <w:rPr>
                <w:rFonts w:ascii="Calibri" w:eastAsia="Calibri" w:hAnsi="Calibri" w:cs="Calibri"/>
                <w:b/>
                <w:color w:val="000000" w:themeColor="text1"/>
              </w:rPr>
              <w:t>Top 5 Institutional Holders</w:t>
            </w:r>
          </w:p>
        </w:tc>
        <w:tc>
          <w:tcPr>
            <w:tcW w:w="1200" w:type="dxa"/>
          </w:tcPr>
          <w:p w14:paraId="45784F1C" w14:textId="77777777" w:rsidR="00666CAE" w:rsidRDefault="00666CAE" w:rsidP="00666CAE"/>
        </w:tc>
      </w:tr>
      <w:tr w:rsidR="00666CAE" w14:paraId="388A8753" w14:textId="77777777" w:rsidTr="00666CAE">
        <w:tc>
          <w:tcPr>
            <w:tcW w:w="3315" w:type="dxa"/>
          </w:tcPr>
          <w:p w14:paraId="44A200DA" w14:textId="77777777" w:rsidR="00666CAE" w:rsidRDefault="00666CAE" w:rsidP="00666CAE">
            <w:r w:rsidRPr="0FC4DAC1">
              <w:rPr>
                <w:rFonts w:ascii="Calibri" w:eastAsia="Calibri" w:hAnsi="Calibri" w:cs="Calibri"/>
                <w:color w:val="000000" w:themeColor="text1"/>
              </w:rPr>
              <w:t>The Vanguard Group, Inc.</w:t>
            </w:r>
          </w:p>
        </w:tc>
        <w:tc>
          <w:tcPr>
            <w:tcW w:w="1200" w:type="dxa"/>
          </w:tcPr>
          <w:p w14:paraId="16077E72" w14:textId="77777777" w:rsidR="00666CAE" w:rsidRDefault="00666CAE" w:rsidP="00666CAE">
            <w:r w:rsidRPr="0FC4DAC1">
              <w:rPr>
                <w:rFonts w:ascii="Calibri" w:eastAsia="Calibri" w:hAnsi="Calibri" w:cs="Calibri"/>
                <w:color w:val="000000" w:themeColor="text1"/>
              </w:rPr>
              <w:t>7.91%</w:t>
            </w:r>
          </w:p>
        </w:tc>
      </w:tr>
      <w:tr w:rsidR="00666CAE" w14:paraId="59548193" w14:textId="77777777" w:rsidTr="00666CAE">
        <w:tc>
          <w:tcPr>
            <w:tcW w:w="3315" w:type="dxa"/>
          </w:tcPr>
          <w:p w14:paraId="35763F90" w14:textId="77777777" w:rsidR="00666CAE" w:rsidRDefault="00666CAE" w:rsidP="00666CAE">
            <w:r w:rsidRPr="0FC4DAC1">
              <w:rPr>
                <w:rFonts w:ascii="Calibri" w:eastAsia="Calibri" w:hAnsi="Calibri" w:cs="Calibri"/>
                <w:color w:val="000000" w:themeColor="text1"/>
              </w:rPr>
              <w:t>BlackRock Fund Advisors</w:t>
            </w:r>
          </w:p>
        </w:tc>
        <w:tc>
          <w:tcPr>
            <w:tcW w:w="1200" w:type="dxa"/>
          </w:tcPr>
          <w:p w14:paraId="14714AEF" w14:textId="77777777" w:rsidR="00666CAE" w:rsidRDefault="00666CAE" w:rsidP="00666CAE">
            <w:r w:rsidRPr="0FC4DAC1">
              <w:rPr>
                <w:rFonts w:ascii="Calibri" w:eastAsia="Calibri" w:hAnsi="Calibri" w:cs="Calibri"/>
                <w:color w:val="000000" w:themeColor="text1"/>
              </w:rPr>
              <w:t>5.28%</w:t>
            </w:r>
          </w:p>
        </w:tc>
      </w:tr>
      <w:tr w:rsidR="00666CAE" w14:paraId="22B86CEA" w14:textId="77777777" w:rsidTr="00666CAE">
        <w:tc>
          <w:tcPr>
            <w:tcW w:w="3315" w:type="dxa"/>
          </w:tcPr>
          <w:p w14:paraId="19FBBA93" w14:textId="77777777" w:rsidR="00666CAE" w:rsidRDefault="00666CAE" w:rsidP="00666CAE">
            <w:proofErr w:type="spellStart"/>
            <w:r w:rsidRPr="0FC4DAC1">
              <w:rPr>
                <w:rFonts w:ascii="Calibri" w:eastAsia="Calibri" w:hAnsi="Calibri" w:cs="Calibri"/>
                <w:color w:val="000000" w:themeColor="text1"/>
              </w:rPr>
              <w:t>SSgA</w:t>
            </w:r>
            <w:proofErr w:type="spellEnd"/>
            <w:r w:rsidRPr="0FC4DAC1">
              <w:rPr>
                <w:rFonts w:ascii="Calibri" w:eastAsia="Calibri" w:hAnsi="Calibri" w:cs="Calibri"/>
                <w:color w:val="000000" w:themeColor="text1"/>
              </w:rPr>
              <w:t xml:space="preserve"> Funds Management, Inc.</w:t>
            </w:r>
          </w:p>
        </w:tc>
        <w:tc>
          <w:tcPr>
            <w:tcW w:w="1200" w:type="dxa"/>
          </w:tcPr>
          <w:p w14:paraId="69314888" w14:textId="77777777" w:rsidR="00666CAE" w:rsidRDefault="00666CAE" w:rsidP="00666CAE">
            <w:r w:rsidRPr="0FC4DAC1">
              <w:rPr>
                <w:rFonts w:ascii="Calibri" w:eastAsia="Calibri" w:hAnsi="Calibri" w:cs="Calibri"/>
                <w:color w:val="000000" w:themeColor="text1"/>
              </w:rPr>
              <w:t>4.70%</w:t>
            </w:r>
          </w:p>
        </w:tc>
      </w:tr>
      <w:tr w:rsidR="00666CAE" w14:paraId="7BB1CDFC" w14:textId="77777777" w:rsidTr="00666CAE">
        <w:tc>
          <w:tcPr>
            <w:tcW w:w="3315" w:type="dxa"/>
          </w:tcPr>
          <w:p w14:paraId="183708E1" w14:textId="77777777" w:rsidR="00666CAE" w:rsidRDefault="00666CAE" w:rsidP="00666CAE">
            <w:r w:rsidRPr="0FC4DAC1">
              <w:rPr>
                <w:rFonts w:ascii="Calibri" w:eastAsia="Calibri" w:hAnsi="Calibri" w:cs="Calibri"/>
                <w:color w:val="000000" w:themeColor="text1"/>
              </w:rPr>
              <w:t>Wellington Management Co. LLP</w:t>
            </w:r>
          </w:p>
        </w:tc>
        <w:tc>
          <w:tcPr>
            <w:tcW w:w="1200" w:type="dxa"/>
          </w:tcPr>
          <w:p w14:paraId="125C583D" w14:textId="77777777" w:rsidR="00666CAE" w:rsidRDefault="00666CAE" w:rsidP="00666CAE">
            <w:r w:rsidRPr="0FC4DAC1">
              <w:rPr>
                <w:rFonts w:ascii="Calibri" w:eastAsia="Calibri" w:hAnsi="Calibri" w:cs="Calibri"/>
                <w:color w:val="000000" w:themeColor="text1"/>
              </w:rPr>
              <w:t>1.67%</w:t>
            </w:r>
          </w:p>
        </w:tc>
      </w:tr>
      <w:tr w:rsidR="00666CAE" w14:paraId="29A7BD66" w14:textId="77777777" w:rsidTr="00666CAE">
        <w:tc>
          <w:tcPr>
            <w:tcW w:w="3315" w:type="dxa"/>
          </w:tcPr>
          <w:p w14:paraId="6F3834BB" w14:textId="77777777" w:rsidR="00666CAE" w:rsidRDefault="00666CAE" w:rsidP="00666CAE">
            <w:r w:rsidRPr="0FC4DAC1">
              <w:rPr>
                <w:rFonts w:ascii="Calibri" w:eastAsia="Calibri" w:hAnsi="Calibri" w:cs="Calibri"/>
                <w:color w:val="000000" w:themeColor="text1"/>
              </w:rPr>
              <w:t>Geode Capital Management LLC</w:t>
            </w:r>
          </w:p>
        </w:tc>
        <w:tc>
          <w:tcPr>
            <w:tcW w:w="1200" w:type="dxa"/>
          </w:tcPr>
          <w:p w14:paraId="5A4BD142" w14:textId="77777777" w:rsidR="00666CAE" w:rsidRDefault="00666CAE" w:rsidP="00666CAE">
            <w:r w:rsidRPr="0FC4DAC1">
              <w:rPr>
                <w:rFonts w:ascii="Calibri" w:eastAsia="Calibri" w:hAnsi="Calibri" w:cs="Calibri"/>
                <w:color w:val="000000" w:themeColor="text1"/>
              </w:rPr>
              <w:t>1.43%</w:t>
            </w:r>
          </w:p>
        </w:tc>
      </w:tr>
      <w:tr w:rsidR="00666CAE" w14:paraId="6C178BF7" w14:textId="77777777" w:rsidTr="00666CAE">
        <w:trPr>
          <w:trHeight w:val="267"/>
        </w:trPr>
        <w:tc>
          <w:tcPr>
            <w:tcW w:w="3315" w:type="dxa"/>
          </w:tcPr>
          <w:p w14:paraId="2319C587" w14:textId="77777777" w:rsidR="00666CAE" w:rsidRPr="00697D1D" w:rsidRDefault="00666CAE" w:rsidP="00666CAE">
            <w:pPr>
              <w:rPr>
                <w:b/>
                <w:bCs/>
              </w:rPr>
            </w:pPr>
            <w:r w:rsidRPr="0FC4DAC1">
              <w:rPr>
                <w:rFonts w:ascii="Calibri" w:eastAsia="Calibri" w:hAnsi="Calibri" w:cs="Calibri"/>
                <w:b/>
                <w:bCs/>
                <w:color w:val="000000" w:themeColor="text1"/>
              </w:rPr>
              <w:t>Total</w:t>
            </w:r>
          </w:p>
        </w:tc>
        <w:tc>
          <w:tcPr>
            <w:tcW w:w="1200" w:type="dxa"/>
          </w:tcPr>
          <w:p w14:paraId="2EBB8CDB" w14:textId="77777777" w:rsidR="00666CAE" w:rsidRPr="00697D1D" w:rsidRDefault="00666CAE" w:rsidP="00666CAE">
            <w:pPr>
              <w:rPr>
                <w:b/>
                <w:bCs/>
              </w:rPr>
            </w:pPr>
            <w:r w:rsidRPr="0FC4DAC1">
              <w:rPr>
                <w:rFonts w:ascii="Calibri" w:eastAsia="Calibri" w:hAnsi="Calibri" w:cs="Calibri"/>
                <w:b/>
                <w:bCs/>
                <w:color w:val="000000" w:themeColor="text1"/>
              </w:rPr>
              <w:t>20.99%</w:t>
            </w:r>
          </w:p>
        </w:tc>
      </w:tr>
    </w:tbl>
    <w:p w14:paraId="68CAF32F" w14:textId="6CADAA86" w:rsidR="002C66E7" w:rsidRDefault="45540519" w:rsidP="00DA13F9">
      <w:pPr>
        <w:ind w:left="-540"/>
      </w:pPr>
      <w:r>
        <w:t>Merck &amp; Co</w:t>
      </w:r>
      <w:r w:rsidR="5ED962C3">
        <w:t>.</w:t>
      </w:r>
      <w:r>
        <w:t xml:space="preserve"> is primarily held by </w:t>
      </w:r>
      <w:r w:rsidR="455C914E">
        <w:t xml:space="preserve">financial institutions accounting for over 75% of outstanding shares. The top 10 </w:t>
      </w:r>
      <w:r w:rsidR="0D1668AA">
        <w:t>institutional</w:t>
      </w:r>
      <w:r w:rsidR="455C914E">
        <w:t xml:space="preserve"> holder</w:t>
      </w:r>
      <w:r w:rsidR="10B962C0">
        <w:t xml:space="preserve">s </w:t>
      </w:r>
      <w:r w:rsidR="13A061C2">
        <w:t>consisting of members like The Vanguard Group, BlackRock Fund Advisors</w:t>
      </w:r>
      <w:r w:rsidR="777021D0">
        <w:t xml:space="preserve">, and </w:t>
      </w:r>
      <w:proofErr w:type="spellStart"/>
      <w:r w:rsidR="777021D0">
        <w:t>SSgA</w:t>
      </w:r>
      <w:proofErr w:type="spellEnd"/>
      <w:r w:rsidR="777021D0">
        <w:t xml:space="preserve"> Funds Management account for a little over a quarter of all </w:t>
      </w:r>
      <w:r w:rsidR="1EBF2FE6">
        <w:t xml:space="preserve">institutional ownership. </w:t>
      </w:r>
      <w:r w:rsidR="6583C7F4">
        <w:t xml:space="preserve">Very little activism is present among the shareholders </w:t>
      </w:r>
      <w:r w:rsidR="76A14E7D">
        <w:t>only exhibiting two of the top 10 shareholders having medium levels of activism. Both members</w:t>
      </w:r>
      <w:r w:rsidR="379EB5CD">
        <w:t xml:space="preserve">, BlackRock Fund Advisors and </w:t>
      </w:r>
      <w:proofErr w:type="spellStart"/>
      <w:r w:rsidR="379EB5CD">
        <w:t>Norges</w:t>
      </w:r>
      <w:proofErr w:type="spellEnd"/>
      <w:r w:rsidR="379EB5CD">
        <w:t xml:space="preserve"> Bank Investment Management, have not demonstrated any forms of a</w:t>
      </w:r>
      <w:r w:rsidR="7A849606">
        <w:t xml:space="preserve">ctivism with Merck. </w:t>
      </w:r>
      <w:r w:rsidR="2DF44250">
        <w:t xml:space="preserve">The remaining approximate quarter of ownership are other investors that could be </w:t>
      </w:r>
      <w:r w:rsidR="7F841206">
        <w:t xml:space="preserve">individual investors, mutual funds not covered due to non-disclosure laws, or investors with less than </w:t>
      </w:r>
      <w:r w:rsidR="11AC87A0">
        <w:t>$</w:t>
      </w:r>
      <w:r w:rsidR="7F841206">
        <w:t>100 million invested.</w:t>
      </w:r>
      <w:r w:rsidR="4BC44662">
        <w:t xml:space="preserve"> </w:t>
      </w:r>
      <w:r w:rsidR="601F94CA">
        <w:t xml:space="preserve">Inside ownership accounts for about one tenth of a percent in total ownership and </w:t>
      </w:r>
      <w:r w:rsidR="1EC509BB">
        <w:t>is primarily members of the executive team.</w:t>
      </w:r>
      <w:r w:rsidR="601F94CA">
        <w:t xml:space="preserve"> </w:t>
      </w:r>
      <w:r w:rsidR="618F4B9B">
        <w:t xml:space="preserve">Over the last six months there has been a trend of banking institutions and insurance companies </w:t>
      </w:r>
      <w:r w:rsidR="41FB9EC4">
        <w:t>reducing their holdings and they are being bought up by mutual funds.</w:t>
      </w:r>
    </w:p>
    <w:p w14:paraId="1924966D" w14:textId="7DCE2769" w:rsidR="4E3F7850" w:rsidRDefault="074A5BC7" w:rsidP="00FE61EB">
      <w:pPr>
        <w:pStyle w:val="Caption"/>
      </w:pPr>
      <w:r>
        <w:t xml:space="preserve">Table </w:t>
      </w:r>
      <w:r>
        <w:fldChar w:fldCharType="begin"/>
      </w:r>
      <w:r>
        <w:instrText>SEQ Table \* ARABIC</w:instrText>
      </w:r>
      <w:r>
        <w:fldChar w:fldCharType="separate"/>
      </w:r>
      <w:r w:rsidRPr="4DEA0559">
        <w:rPr>
          <w:noProof/>
        </w:rPr>
        <w:t>3</w:t>
      </w:r>
      <w:r>
        <w:fldChar w:fldCharType="end"/>
      </w:r>
      <w:r>
        <w:t>: Top 5 Institutional Holders</w:t>
      </w:r>
    </w:p>
    <w:p w14:paraId="64B53035" w14:textId="02007688" w:rsidR="57870D5B" w:rsidRDefault="17E04039" w:rsidP="04C63FB9">
      <w:r>
        <w:t xml:space="preserve">Figure </w:t>
      </w:r>
      <w:r w:rsidR="1035B905">
        <w:fldChar w:fldCharType="begin"/>
      </w:r>
      <w:r w:rsidR="1035B905">
        <w:instrText>SEQ Figure \* ARABIC</w:instrText>
      </w:r>
      <w:r w:rsidR="1035B905">
        <w:fldChar w:fldCharType="separate"/>
      </w:r>
      <w:r w:rsidRPr="04C63FB9">
        <w:rPr>
          <w:noProof/>
        </w:rPr>
        <w:t>2</w:t>
      </w:r>
      <w:r w:rsidR="1035B905">
        <w:fldChar w:fldCharType="end"/>
      </w:r>
      <w:r>
        <w:t>: Ownership of Shares</w:t>
      </w:r>
      <w:r w:rsidR="4069616C">
        <w:rPr>
          <w:noProof/>
        </w:rPr>
        <w:drawing>
          <wp:inline distT="0" distB="0" distL="0" distR="0" wp14:anchorId="61A33ADC" wp14:editId="7CC3C0DA">
            <wp:extent cx="3547110" cy="2131060"/>
            <wp:effectExtent l="0" t="0" r="0" b="2540"/>
            <wp:docPr id="1003729318" name="Picture 167691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915466"/>
                    <pic:cNvPicPr/>
                  </pic:nvPicPr>
                  <pic:blipFill>
                    <a:blip r:embed="rId11">
                      <a:extLst>
                        <a:ext uri="{28A0092B-C50C-407E-A947-70E740481C1C}">
                          <a14:useLocalDpi xmlns:a14="http://schemas.microsoft.com/office/drawing/2010/main" val="0"/>
                        </a:ext>
                      </a:extLst>
                    </a:blip>
                    <a:stretch>
                      <a:fillRect/>
                    </a:stretch>
                  </pic:blipFill>
                  <pic:spPr>
                    <a:xfrm>
                      <a:off x="0" y="0"/>
                      <a:ext cx="3547110" cy="2131060"/>
                    </a:xfrm>
                    <a:prstGeom prst="rect">
                      <a:avLst/>
                    </a:prstGeom>
                  </pic:spPr>
                </pic:pic>
              </a:graphicData>
            </a:graphic>
          </wp:inline>
        </w:drawing>
      </w:r>
    </w:p>
    <w:p w14:paraId="6A35260A" w14:textId="6A653638" w:rsidR="00666CAE" w:rsidRPr="00666CAE" w:rsidRDefault="00666CAE" w:rsidP="00666CAE"/>
    <w:p w14:paraId="3DF7E626" w14:textId="3A5A520E" w:rsidR="009151CB" w:rsidRPr="009151CB" w:rsidRDefault="009151CB" w:rsidP="07153BC8">
      <w:pPr>
        <w:jc w:val="center"/>
      </w:pPr>
    </w:p>
    <w:sectPr w:rsidR="009151CB" w:rsidRPr="009151CB" w:rsidSect="00E15578">
      <w:headerReference w:type="default" r:id="rId12"/>
      <w:footerReference w:type="default" r:id="rId13"/>
      <w:pgSz w:w="12240" w:h="15840"/>
      <w:pgMar w:top="576"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52A9" w14:textId="77777777" w:rsidR="00210FE9" w:rsidRDefault="00210FE9" w:rsidP="00A34EFB">
      <w:r>
        <w:separator/>
      </w:r>
    </w:p>
  </w:endnote>
  <w:endnote w:type="continuationSeparator" w:id="0">
    <w:p w14:paraId="2987BA3B" w14:textId="77777777" w:rsidR="00210FE9" w:rsidRDefault="00210FE9" w:rsidP="00A34EFB">
      <w:r>
        <w:continuationSeparator/>
      </w:r>
    </w:p>
  </w:endnote>
  <w:endnote w:type="continuationNotice" w:id="1">
    <w:p w14:paraId="3FABCB67" w14:textId="77777777" w:rsidR="00210FE9" w:rsidRDefault="00210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arlow Solid Italic">
    <w:altName w:val="Trebuchet MS"/>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B841B9" w:rsidRPr="00B841B9">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81046" w14:textId="77777777" w:rsidR="00210FE9" w:rsidRDefault="00210FE9" w:rsidP="00A34EFB">
      <w:r>
        <w:separator/>
      </w:r>
    </w:p>
  </w:footnote>
  <w:footnote w:type="continuationSeparator" w:id="0">
    <w:p w14:paraId="74A344A2" w14:textId="77777777" w:rsidR="00210FE9" w:rsidRDefault="00210FE9" w:rsidP="00A34EFB">
      <w:r>
        <w:continuationSeparator/>
      </w:r>
    </w:p>
  </w:footnote>
  <w:footnote w:type="continuationNotice" w:id="1">
    <w:p w14:paraId="5ABE8BDD" w14:textId="77777777" w:rsidR="00210FE9" w:rsidRDefault="00210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27B2" w14:textId="00BF1BA3" w:rsidR="0009473A" w:rsidRPr="00CF54C8" w:rsidRDefault="0009473A" w:rsidP="00BC07BC">
    <w:pPr>
      <w:pStyle w:val="NormalWeb"/>
      <w:pBdr>
        <w:bottom w:val="thickThinSmallGap" w:sz="24" w:space="1" w:color="FFC000"/>
      </w:pBdr>
      <w:tabs>
        <w:tab w:val="right" w:pos="9360"/>
      </w:tabs>
      <w:spacing w:before="0" w:beforeAutospacing="0" w:after="0" w:afterAutospacing="0"/>
      <w:ind w:left="-540" w:right="-45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04C63FB9" w:rsidRPr="04C63FB9">
      <w:rPr>
        <w:rFonts w:asciiTheme="minorHAnsi" w:eastAsiaTheme="minorEastAsia" w:hAnsiTheme="minorHAnsi" w:cstheme="minorBidi"/>
        <w:b/>
        <w:bCs/>
        <w:color w:val="1F4E79" w:themeColor="accent1" w:themeShade="80"/>
        <w:kern w:val="24"/>
      </w:rPr>
      <w:t xml:space="preserve">UWEC Student Managed Investment Fund </w:t>
    </w:r>
  </w:p>
  <w:p w14:paraId="60000171" w14:textId="06B393D2" w:rsidR="00475F7E" w:rsidRPr="00CF54C8" w:rsidRDefault="0009473A" w:rsidP="00BC07BC">
    <w:pPr>
      <w:pStyle w:val="NormalWeb"/>
      <w:pBdr>
        <w:bottom w:val="thickThinSmallGap" w:sz="24" w:space="1" w:color="FFC000"/>
      </w:pBdr>
      <w:tabs>
        <w:tab w:val="right" w:pos="9360"/>
      </w:tabs>
      <w:spacing w:before="0" w:beforeAutospacing="0" w:after="0" w:afterAutospacing="0"/>
      <w:ind w:left="-540" w:right="-450"/>
      <w:rPr>
        <w:rFonts w:asciiTheme="minorHAnsi" w:hAnsiTheme="minorHAnsi" w:cstheme="minorHAnsi"/>
        <w:b/>
        <w:color w:val="1F4E79" w:themeColor="accent1" w:themeShade="80"/>
      </w:rPr>
    </w:pPr>
    <w:r w:rsidRPr="00CF54C8">
      <w:rPr>
        <w:rFonts w:asciiTheme="minorHAnsi" w:eastAsiaTheme="minorEastAsia" w:hAnsiTheme="minorHAnsi" w:cstheme="minorHAnsi"/>
        <w:b/>
        <w:color w:val="1F4E79" w:themeColor="accent1" w:themeShade="80"/>
        <w:kern w:val="24"/>
      </w:rPr>
      <w:t>Fall 20</w:t>
    </w:r>
    <w:r w:rsidR="009260BC">
      <w:rPr>
        <w:rFonts w:asciiTheme="minorHAnsi" w:eastAsiaTheme="minorEastAsia" w:hAnsiTheme="minorHAnsi" w:cstheme="minorHAnsi"/>
        <w:b/>
        <w:color w:val="1F4E79" w:themeColor="accent1" w:themeShade="80"/>
        <w:kern w:val="24"/>
      </w:rPr>
      <w:t>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C63"/>
    <w:multiLevelType w:val="hybridMultilevel"/>
    <w:tmpl w:val="ABBCD260"/>
    <w:lvl w:ilvl="0" w:tplc="A67A0538">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48C3"/>
    <w:multiLevelType w:val="hybridMultilevel"/>
    <w:tmpl w:val="49EC3410"/>
    <w:lvl w:ilvl="0" w:tplc="69E4A64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C667F5C"/>
    <w:multiLevelType w:val="hybridMultilevel"/>
    <w:tmpl w:val="60BC78D2"/>
    <w:lvl w:ilvl="0" w:tplc="C018F030">
      <w:start w:val="1"/>
      <w:numFmt w:val="bullet"/>
      <w:lvlText w:val=""/>
      <w:lvlJc w:val="left"/>
      <w:pPr>
        <w:tabs>
          <w:tab w:val="num" w:pos="720"/>
        </w:tabs>
        <w:ind w:left="720" w:hanging="360"/>
      </w:pPr>
      <w:rPr>
        <w:rFonts w:ascii="Symbol" w:hAnsi="Symbol" w:hint="default"/>
        <w:sz w:val="20"/>
      </w:rPr>
    </w:lvl>
    <w:lvl w:ilvl="1" w:tplc="17488DDA" w:tentative="1">
      <w:start w:val="1"/>
      <w:numFmt w:val="bullet"/>
      <w:lvlText w:val=""/>
      <w:lvlJc w:val="left"/>
      <w:pPr>
        <w:tabs>
          <w:tab w:val="num" w:pos="1440"/>
        </w:tabs>
        <w:ind w:left="1440" w:hanging="360"/>
      </w:pPr>
      <w:rPr>
        <w:rFonts w:ascii="Symbol" w:hAnsi="Symbol" w:hint="default"/>
        <w:sz w:val="20"/>
      </w:rPr>
    </w:lvl>
    <w:lvl w:ilvl="2" w:tplc="81ECCFA8" w:tentative="1">
      <w:start w:val="1"/>
      <w:numFmt w:val="bullet"/>
      <w:lvlText w:val=""/>
      <w:lvlJc w:val="left"/>
      <w:pPr>
        <w:tabs>
          <w:tab w:val="num" w:pos="2160"/>
        </w:tabs>
        <w:ind w:left="2160" w:hanging="360"/>
      </w:pPr>
      <w:rPr>
        <w:rFonts w:ascii="Symbol" w:hAnsi="Symbol" w:hint="default"/>
        <w:sz w:val="20"/>
      </w:rPr>
    </w:lvl>
    <w:lvl w:ilvl="3" w:tplc="E3109768" w:tentative="1">
      <w:start w:val="1"/>
      <w:numFmt w:val="bullet"/>
      <w:lvlText w:val=""/>
      <w:lvlJc w:val="left"/>
      <w:pPr>
        <w:tabs>
          <w:tab w:val="num" w:pos="2880"/>
        </w:tabs>
        <w:ind w:left="2880" w:hanging="360"/>
      </w:pPr>
      <w:rPr>
        <w:rFonts w:ascii="Symbol" w:hAnsi="Symbol" w:hint="default"/>
        <w:sz w:val="20"/>
      </w:rPr>
    </w:lvl>
    <w:lvl w:ilvl="4" w:tplc="D75203E8" w:tentative="1">
      <w:start w:val="1"/>
      <w:numFmt w:val="bullet"/>
      <w:lvlText w:val=""/>
      <w:lvlJc w:val="left"/>
      <w:pPr>
        <w:tabs>
          <w:tab w:val="num" w:pos="3600"/>
        </w:tabs>
        <w:ind w:left="3600" w:hanging="360"/>
      </w:pPr>
      <w:rPr>
        <w:rFonts w:ascii="Symbol" w:hAnsi="Symbol" w:hint="default"/>
        <w:sz w:val="20"/>
      </w:rPr>
    </w:lvl>
    <w:lvl w:ilvl="5" w:tplc="3DD6B69A" w:tentative="1">
      <w:start w:val="1"/>
      <w:numFmt w:val="bullet"/>
      <w:lvlText w:val=""/>
      <w:lvlJc w:val="left"/>
      <w:pPr>
        <w:tabs>
          <w:tab w:val="num" w:pos="4320"/>
        </w:tabs>
        <w:ind w:left="4320" w:hanging="360"/>
      </w:pPr>
      <w:rPr>
        <w:rFonts w:ascii="Symbol" w:hAnsi="Symbol" w:hint="default"/>
        <w:sz w:val="20"/>
      </w:rPr>
    </w:lvl>
    <w:lvl w:ilvl="6" w:tplc="BEC04BE2" w:tentative="1">
      <w:start w:val="1"/>
      <w:numFmt w:val="bullet"/>
      <w:lvlText w:val=""/>
      <w:lvlJc w:val="left"/>
      <w:pPr>
        <w:tabs>
          <w:tab w:val="num" w:pos="5040"/>
        </w:tabs>
        <w:ind w:left="5040" w:hanging="360"/>
      </w:pPr>
      <w:rPr>
        <w:rFonts w:ascii="Symbol" w:hAnsi="Symbol" w:hint="default"/>
        <w:sz w:val="20"/>
      </w:rPr>
    </w:lvl>
    <w:lvl w:ilvl="7" w:tplc="B148BDA2" w:tentative="1">
      <w:start w:val="1"/>
      <w:numFmt w:val="bullet"/>
      <w:lvlText w:val=""/>
      <w:lvlJc w:val="left"/>
      <w:pPr>
        <w:tabs>
          <w:tab w:val="num" w:pos="5760"/>
        </w:tabs>
        <w:ind w:left="5760" w:hanging="360"/>
      </w:pPr>
      <w:rPr>
        <w:rFonts w:ascii="Symbol" w:hAnsi="Symbol" w:hint="default"/>
        <w:sz w:val="20"/>
      </w:rPr>
    </w:lvl>
    <w:lvl w:ilvl="8" w:tplc="615A2DF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958A1"/>
    <w:multiLevelType w:val="multilevel"/>
    <w:tmpl w:val="AF0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F36E7"/>
    <w:multiLevelType w:val="hybridMultilevel"/>
    <w:tmpl w:val="D5BC1A22"/>
    <w:lvl w:ilvl="0" w:tplc="2214A42E">
      <w:start w:val="1"/>
      <w:numFmt w:val="bullet"/>
      <w:lvlText w:val=""/>
      <w:lvlJc w:val="left"/>
      <w:pPr>
        <w:tabs>
          <w:tab w:val="num" w:pos="720"/>
        </w:tabs>
        <w:ind w:left="720" w:hanging="360"/>
      </w:pPr>
      <w:rPr>
        <w:rFonts w:ascii="Symbol" w:hAnsi="Symbol" w:hint="default"/>
        <w:sz w:val="20"/>
      </w:rPr>
    </w:lvl>
    <w:lvl w:ilvl="1" w:tplc="28DE4152" w:tentative="1">
      <w:start w:val="1"/>
      <w:numFmt w:val="bullet"/>
      <w:lvlText w:val=""/>
      <w:lvlJc w:val="left"/>
      <w:pPr>
        <w:tabs>
          <w:tab w:val="num" w:pos="1440"/>
        </w:tabs>
        <w:ind w:left="1440" w:hanging="360"/>
      </w:pPr>
      <w:rPr>
        <w:rFonts w:ascii="Symbol" w:hAnsi="Symbol" w:hint="default"/>
        <w:sz w:val="20"/>
      </w:rPr>
    </w:lvl>
    <w:lvl w:ilvl="2" w:tplc="4B56975C" w:tentative="1">
      <w:start w:val="1"/>
      <w:numFmt w:val="bullet"/>
      <w:lvlText w:val=""/>
      <w:lvlJc w:val="left"/>
      <w:pPr>
        <w:tabs>
          <w:tab w:val="num" w:pos="2160"/>
        </w:tabs>
        <w:ind w:left="2160" w:hanging="360"/>
      </w:pPr>
      <w:rPr>
        <w:rFonts w:ascii="Symbol" w:hAnsi="Symbol" w:hint="default"/>
        <w:sz w:val="20"/>
      </w:rPr>
    </w:lvl>
    <w:lvl w:ilvl="3" w:tplc="4FC0DCB0" w:tentative="1">
      <w:start w:val="1"/>
      <w:numFmt w:val="bullet"/>
      <w:lvlText w:val=""/>
      <w:lvlJc w:val="left"/>
      <w:pPr>
        <w:tabs>
          <w:tab w:val="num" w:pos="2880"/>
        </w:tabs>
        <w:ind w:left="2880" w:hanging="360"/>
      </w:pPr>
      <w:rPr>
        <w:rFonts w:ascii="Symbol" w:hAnsi="Symbol" w:hint="default"/>
        <w:sz w:val="20"/>
      </w:rPr>
    </w:lvl>
    <w:lvl w:ilvl="4" w:tplc="DA06BEFA" w:tentative="1">
      <w:start w:val="1"/>
      <w:numFmt w:val="bullet"/>
      <w:lvlText w:val=""/>
      <w:lvlJc w:val="left"/>
      <w:pPr>
        <w:tabs>
          <w:tab w:val="num" w:pos="3600"/>
        </w:tabs>
        <w:ind w:left="3600" w:hanging="360"/>
      </w:pPr>
      <w:rPr>
        <w:rFonts w:ascii="Symbol" w:hAnsi="Symbol" w:hint="default"/>
        <w:sz w:val="20"/>
      </w:rPr>
    </w:lvl>
    <w:lvl w:ilvl="5" w:tplc="EFC888E6" w:tentative="1">
      <w:start w:val="1"/>
      <w:numFmt w:val="bullet"/>
      <w:lvlText w:val=""/>
      <w:lvlJc w:val="left"/>
      <w:pPr>
        <w:tabs>
          <w:tab w:val="num" w:pos="4320"/>
        </w:tabs>
        <w:ind w:left="4320" w:hanging="360"/>
      </w:pPr>
      <w:rPr>
        <w:rFonts w:ascii="Symbol" w:hAnsi="Symbol" w:hint="default"/>
        <w:sz w:val="20"/>
      </w:rPr>
    </w:lvl>
    <w:lvl w:ilvl="6" w:tplc="41548F20" w:tentative="1">
      <w:start w:val="1"/>
      <w:numFmt w:val="bullet"/>
      <w:lvlText w:val=""/>
      <w:lvlJc w:val="left"/>
      <w:pPr>
        <w:tabs>
          <w:tab w:val="num" w:pos="5040"/>
        </w:tabs>
        <w:ind w:left="5040" w:hanging="360"/>
      </w:pPr>
      <w:rPr>
        <w:rFonts w:ascii="Symbol" w:hAnsi="Symbol" w:hint="default"/>
        <w:sz w:val="20"/>
      </w:rPr>
    </w:lvl>
    <w:lvl w:ilvl="7" w:tplc="645CB158" w:tentative="1">
      <w:start w:val="1"/>
      <w:numFmt w:val="bullet"/>
      <w:lvlText w:val=""/>
      <w:lvlJc w:val="left"/>
      <w:pPr>
        <w:tabs>
          <w:tab w:val="num" w:pos="5760"/>
        </w:tabs>
        <w:ind w:left="5760" w:hanging="360"/>
      </w:pPr>
      <w:rPr>
        <w:rFonts w:ascii="Symbol" w:hAnsi="Symbol" w:hint="default"/>
        <w:sz w:val="20"/>
      </w:rPr>
    </w:lvl>
    <w:lvl w:ilvl="8" w:tplc="268AF83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21793"/>
    <w:multiLevelType w:val="hybridMultilevel"/>
    <w:tmpl w:val="D4041B24"/>
    <w:lvl w:ilvl="0" w:tplc="F4201160">
      <w:start w:val="5"/>
      <w:numFmt w:val="bullet"/>
      <w:lvlText w:val="-"/>
      <w:lvlJc w:val="left"/>
      <w:pPr>
        <w:ind w:left="-180" w:hanging="360"/>
      </w:pPr>
      <w:rPr>
        <w:rFonts w:ascii="Calibri" w:eastAsiaTheme="minorHAnsi" w:hAnsi="Calibri"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4EBE1643"/>
    <w:multiLevelType w:val="hybridMultilevel"/>
    <w:tmpl w:val="F170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3B02"/>
    <w:multiLevelType w:val="hybridMultilevel"/>
    <w:tmpl w:val="E738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16915"/>
    <w:multiLevelType w:val="hybridMultilevel"/>
    <w:tmpl w:val="0B309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C168E"/>
    <w:multiLevelType w:val="hybridMultilevel"/>
    <w:tmpl w:val="EEBEAB04"/>
    <w:lvl w:ilvl="0" w:tplc="7916AA88">
      <w:start w:val="1"/>
      <w:numFmt w:val="bullet"/>
      <w:lvlText w:val=""/>
      <w:lvlJc w:val="left"/>
      <w:pPr>
        <w:tabs>
          <w:tab w:val="num" w:pos="720"/>
        </w:tabs>
        <w:ind w:left="720" w:hanging="360"/>
      </w:pPr>
      <w:rPr>
        <w:rFonts w:ascii="Symbol" w:hAnsi="Symbol" w:hint="default"/>
        <w:sz w:val="20"/>
      </w:rPr>
    </w:lvl>
    <w:lvl w:ilvl="1" w:tplc="CA469208" w:tentative="1">
      <w:start w:val="1"/>
      <w:numFmt w:val="bullet"/>
      <w:lvlText w:val=""/>
      <w:lvlJc w:val="left"/>
      <w:pPr>
        <w:tabs>
          <w:tab w:val="num" w:pos="1440"/>
        </w:tabs>
        <w:ind w:left="1440" w:hanging="360"/>
      </w:pPr>
      <w:rPr>
        <w:rFonts w:ascii="Symbol" w:hAnsi="Symbol" w:hint="default"/>
        <w:sz w:val="20"/>
      </w:rPr>
    </w:lvl>
    <w:lvl w:ilvl="2" w:tplc="B9A43D04" w:tentative="1">
      <w:start w:val="1"/>
      <w:numFmt w:val="bullet"/>
      <w:lvlText w:val=""/>
      <w:lvlJc w:val="left"/>
      <w:pPr>
        <w:tabs>
          <w:tab w:val="num" w:pos="2160"/>
        </w:tabs>
        <w:ind w:left="2160" w:hanging="360"/>
      </w:pPr>
      <w:rPr>
        <w:rFonts w:ascii="Symbol" w:hAnsi="Symbol" w:hint="default"/>
        <w:sz w:val="20"/>
      </w:rPr>
    </w:lvl>
    <w:lvl w:ilvl="3" w:tplc="1452D8B8" w:tentative="1">
      <w:start w:val="1"/>
      <w:numFmt w:val="bullet"/>
      <w:lvlText w:val=""/>
      <w:lvlJc w:val="left"/>
      <w:pPr>
        <w:tabs>
          <w:tab w:val="num" w:pos="2880"/>
        </w:tabs>
        <w:ind w:left="2880" w:hanging="360"/>
      </w:pPr>
      <w:rPr>
        <w:rFonts w:ascii="Symbol" w:hAnsi="Symbol" w:hint="default"/>
        <w:sz w:val="20"/>
      </w:rPr>
    </w:lvl>
    <w:lvl w:ilvl="4" w:tplc="BA4C825A" w:tentative="1">
      <w:start w:val="1"/>
      <w:numFmt w:val="bullet"/>
      <w:lvlText w:val=""/>
      <w:lvlJc w:val="left"/>
      <w:pPr>
        <w:tabs>
          <w:tab w:val="num" w:pos="3600"/>
        </w:tabs>
        <w:ind w:left="3600" w:hanging="360"/>
      </w:pPr>
      <w:rPr>
        <w:rFonts w:ascii="Symbol" w:hAnsi="Symbol" w:hint="default"/>
        <w:sz w:val="20"/>
      </w:rPr>
    </w:lvl>
    <w:lvl w:ilvl="5" w:tplc="454A9DF8" w:tentative="1">
      <w:start w:val="1"/>
      <w:numFmt w:val="bullet"/>
      <w:lvlText w:val=""/>
      <w:lvlJc w:val="left"/>
      <w:pPr>
        <w:tabs>
          <w:tab w:val="num" w:pos="4320"/>
        </w:tabs>
        <w:ind w:left="4320" w:hanging="360"/>
      </w:pPr>
      <w:rPr>
        <w:rFonts w:ascii="Symbol" w:hAnsi="Symbol" w:hint="default"/>
        <w:sz w:val="20"/>
      </w:rPr>
    </w:lvl>
    <w:lvl w:ilvl="6" w:tplc="B208787A" w:tentative="1">
      <w:start w:val="1"/>
      <w:numFmt w:val="bullet"/>
      <w:lvlText w:val=""/>
      <w:lvlJc w:val="left"/>
      <w:pPr>
        <w:tabs>
          <w:tab w:val="num" w:pos="5040"/>
        </w:tabs>
        <w:ind w:left="5040" w:hanging="360"/>
      </w:pPr>
      <w:rPr>
        <w:rFonts w:ascii="Symbol" w:hAnsi="Symbol" w:hint="default"/>
        <w:sz w:val="20"/>
      </w:rPr>
    </w:lvl>
    <w:lvl w:ilvl="7" w:tplc="50067FE4" w:tentative="1">
      <w:start w:val="1"/>
      <w:numFmt w:val="bullet"/>
      <w:lvlText w:val=""/>
      <w:lvlJc w:val="left"/>
      <w:pPr>
        <w:tabs>
          <w:tab w:val="num" w:pos="5760"/>
        </w:tabs>
        <w:ind w:left="5760" w:hanging="360"/>
      </w:pPr>
      <w:rPr>
        <w:rFonts w:ascii="Symbol" w:hAnsi="Symbol" w:hint="default"/>
        <w:sz w:val="20"/>
      </w:rPr>
    </w:lvl>
    <w:lvl w:ilvl="8" w:tplc="B1766A7C"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2"/>
  </w:num>
  <w:num w:numId="5">
    <w:abstractNumId w:val="0"/>
  </w:num>
  <w:num w:numId="6">
    <w:abstractNumId w:val="8"/>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00BD2"/>
    <w:rsid w:val="00004C3F"/>
    <w:rsid w:val="000052E1"/>
    <w:rsid w:val="00005D23"/>
    <w:rsid w:val="00012E3E"/>
    <w:rsid w:val="00013FB2"/>
    <w:rsid w:val="00015ED3"/>
    <w:rsid w:val="00016B6B"/>
    <w:rsid w:val="000210F3"/>
    <w:rsid w:val="000259AA"/>
    <w:rsid w:val="00030D61"/>
    <w:rsid w:val="00031AAC"/>
    <w:rsid w:val="00032223"/>
    <w:rsid w:val="00034AB8"/>
    <w:rsid w:val="0004085B"/>
    <w:rsid w:val="00041761"/>
    <w:rsid w:val="00042710"/>
    <w:rsid w:val="00044FB8"/>
    <w:rsid w:val="00045101"/>
    <w:rsid w:val="00045353"/>
    <w:rsid w:val="000515C6"/>
    <w:rsid w:val="000552C9"/>
    <w:rsid w:val="0005701C"/>
    <w:rsid w:val="0006191C"/>
    <w:rsid w:val="0006376F"/>
    <w:rsid w:val="000642EF"/>
    <w:rsid w:val="000677EA"/>
    <w:rsid w:val="0008439C"/>
    <w:rsid w:val="00087BBD"/>
    <w:rsid w:val="00090ACA"/>
    <w:rsid w:val="0009183C"/>
    <w:rsid w:val="00093957"/>
    <w:rsid w:val="0009473A"/>
    <w:rsid w:val="00095DC2"/>
    <w:rsid w:val="00096B2D"/>
    <w:rsid w:val="000A01C5"/>
    <w:rsid w:val="000A0234"/>
    <w:rsid w:val="000A249E"/>
    <w:rsid w:val="000A279D"/>
    <w:rsid w:val="000A3E54"/>
    <w:rsid w:val="000B0E9B"/>
    <w:rsid w:val="000B1F97"/>
    <w:rsid w:val="000B25EF"/>
    <w:rsid w:val="000B3D77"/>
    <w:rsid w:val="000B5B76"/>
    <w:rsid w:val="000B5BE6"/>
    <w:rsid w:val="000C3E62"/>
    <w:rsid w:val="000C51FB"/>
    <w:rsid w:val="000D14B2"/>
    <w:rsid w:val="000D296D"/>
    <w:rsid w:val="000D2F47"/>
    <w:rsid w:val="000E722E"/>
    <w:rsid w:val="000E7976"/>
    <w:rsid w:val="000F2FAE"/>
    <w:rsid w:val="000F4634"/>
    <w:rsid w:val="000F567C"/>
    <w:rsid w:val="000F7904"/>
    <w:rsid w:val="00100036"/>
    <w:rsid w:val="001006C0"/>
    <w:rsid w:val="00100FD1"/>
    <w:rsid w:val="00102451"/>
    <w:rsid w:val="001076FD"/>
    <w:rsid w:val="0011049C"/>
    <w:rsid w:val="00110721"/>
    <w:rsid w:val="00111186"/>
    <w:rsid w:val="001175D4"/>
    <w:rsid w:val="00120225"/>
    <w:rsid w:val="00123F10"/>
    <w:rsid w:val="00125341"/>
    <w:rsid w:val="00125A04"/>
    <w:rsid w:val="00130A39"/>
    <w:rsid w:val="00134889"/>
    <w:rsid w:val="00136352"/>
    <w:rsid w:val="00136A17"/>
    <w:rsid w:val="001374F0"/>
    <w:rsid w:val="001570CF"/>
    <w:rsid w:val="001576CE"/>
    <w:rsid w:val="00161BCB"/>
    <w:rsid w:val="0016377A"/>
    <w:rsid w:val="001723F4"/>
    <w:rsid w:val="001756C2"/>
    <w:rsid w:val="001841CC"/>
    <w:rsid w:val="00186B10"/>
    <w:rsid w:val="00187904"/>
    <w:rsid w:val="00187E6E"/>
    <w:rsid w:val="001909A0"/>
    <w:rsid w:val="0019507B"/>
    <w:rsid w:val="001A1F84"/>
    <w:rsid w:val="001A28C9"/>
    <w:rsid w:val="001A3997"/>
    <w:rsid w:val="001A4407"/>
    <w:rsid w:val="001A5CD6"/>
    <w:rsid w:val="001B5401"/>
    <w:rsid w:val="001C3B7A"/>
    <w:rsid w:val="001C6E8E"/>
    <w:rsid w:val="001C6FC3"/>
    <w:rsid w:val="001C7398"/>
    <w:rsid w:val="001D1200"/>
    <w:rsid w:val="001D3E1C"/>
    <w:rsid w:val="001D5FA5"/>
    <w:rsid w:val="001E2BE2"/>
    <w:rsid w:val="001E43D5"/>
    <w:rsid w:val="001F595F"/>
    <w:rsid w:val="00202072"/>
    <w:rsid w:val="00203EE4"/>
    <w:rsid w:val="00203F52"/>
    <w:rsid w:val="00204313"/>
    <w:rsid w:val="00206F77"/>
    <w:rsid w:val="00210FE9"/>
    <w:rsid w:val="00212A87"/>
    <w:rsid w:val="0021429D"/>
    <w:rsid w:val="002200F5"/>
    <w:rsid w:val="00225831"/>
    <w:rsid w:val="00225BB8"/>
    <w:rsid w:val="00226B69"/>
    <w:rsid w:val="002302FE"/>
    <w:rsid w:val="00232817"/>
    <w:rsid w:val="00234513"/>
    <w:rsid w:val="002422EC"/>
    <w:rsid w:val="00243A8C"/>
    <w:rsid w:val="00246E1D"/>
    <w:rsid w:val="00250EAF"/>
    <w:rsid w:val="00260D2D"/>
    <w:rsid w:val="0026213F"/>
    <w:rsid w:val="00264152"/>
    <w:rsid w:val="002674D7"/>
    <w:rsid w:val="002709D7"/>
    <w:rsid w:val="00272588"/>
    <w:rsid w:val="00274C14"/>
    <w:rsid w:val="00277535"/>
    <w:rsid w:val="00281BF2"/>
    <w:rsid w:val="002832A7"/>
    <w:rsid w:val="00283678"/>
    <w:rsid w:val="002851FC"/>
    <w:rsid w:val="0029010E"/>
    <w:rsid w:val="00290CEE"/>
    <w:rsid w:val="0029625E"/>
    <w:rsid w:val="00296ACD"/>
    <w:rsid w:val="00296C41"/>
    <w:rsid w:val="002A1E01"/>
    <w:rsid w:val="002A5042"/>
    <w:rsid w:val="002A7BAD"/>
    <w:rsid w:val="002A7FB8"/>
    <w:rsid w:val="002B3647"/>
    <w:rsid w:val="002B4310"/>
    <w:rsid w:val="002B4BD3"/>
    <w:rsid w:val="002C3E68"/>
    <w:rsid w:val="002C4656"/>
    <w:rsid w:val="002C56B5"/>
    <w:rsid w:val="002C66E7"/>
    <w:rsid w:val="002C790F"/>
    <w:rsid w:val="002D1A39"/>
    <w:rsid w:val="002D2324"/>
    <w:rsid w:val="002D535A"/>
    <w:rsid w:val="002D6B59"/>
    <w:rsid w:val="002D6C01"/>
    <w:rsid w:val="002E3129"/>
    <w:rsid w:val="002F342A"/>
    <w:rsid w:val="00300EBB"/>
    <w:rsid w:val="00301355"/>
    <w:rsid w:val="003022C6"/>
    <w:rsid w:val="003040A5"/>
    <w:rsid w:val="00307030"/>
    <w:rsid w:val="00315B19"/>
    <w:rsid w:val="00321E3F"/>
    <w:rsid w:val="00322566"/>
    <w:rsid w:val="003233E8"/>
    <w:rsid w:val="00323C55"/>
    <w:rsid w:val="00325DA6"/>
    <w:rsid w:val="00330A2F"/>
    <w:rsid w:val="00331035"/>
    <w:rsid w:val="003409FE"/>
    <w:rsid w:val="00346C38"/>
    <w:rsid w:val="003478CE"/>
    <w:rsid w:val="00347E06"/>
    <w:rsid w:val="003521E6"/>
    <w:rsid w:val="00356A73"/>
    <w:rsid w:val="003604F3"/>
    <w:rsid w:val="00361688"/>
    <w:rsid w:val="00372396"/>
    <w:rsid w:val="003752AE"/>
    <w:rsid w:val="00376EB1"/>
    <w:rsid w:val="00383C2B"/>
    <w:rsid w:val="003924C7"/>
    <w:rsid w:val="003924DE"/>
    <w:rsid w:val="003A1EC3"/>
    <w:rsid w:val="003A256E"/>
    <w:rsid w:val="003A6A1F"/>
    <w:rsid w:val="003B195E"/>
    <w:rsid w:val="003B6F4B"/>
    <w:rsid w:val="003B73B2"/>
    <w:rsid w:val="003C0AD8"/>
    <w:rsid w:val="003C47FF"/>
    <w:rsid w:val="003C49C9"/>
    <w:rsid w:val="003C60F8"/>
    <w:rsid w:val="003D28AC"/>
    <w:rsid w:val="003D4EA1"/>
    <w:rsid w:val="003E4F0B"/>
    <w:rsid w:val="003E710C"/>
    <w:rsid w:val="003E7653"/>
    <w:rsid w:val="003E7724"/>
    <w:rsid w:val="003F016D"/>
    <w:rsid w:val="003F0174"/>
    <w:rsid w:val="003F2B0D"/>
    <w:rsid w:val="003F496E"/>
    <w:rsid w:val="003F7100"/>
    <w:rsid w:val="00400D96"/>
    <w:rsid w:val="00401D39"/>
    <w:rsid w:val="00402DA4"/>
    <w:rsid w:val="0040691C"/>
    <w:rsid w:val="00413C3A"/>
    <w:rsid w:val="004204A4"/>
    <w:rsid w:val="00421950"/>
    <w:rsid w:val="00421C14"/>
    <w:rsid w:val="004357A4"/>
    <w:rsid w:val="0044404F"/>
    <w:rsid w:val="0045178F"/>
    <w:rsid w:val="00453D6B"/>
    <w:rsid w:val="0046076A"/>
    <w:rsid w:val="00460D98"/>
    <w:rsid w:val="00461FD6"/>
    <w:rsid w:val="004646BF"/>
    <w:rsid w:val="00464705"/>
    <w:rsid w:val="004650B9"/>
    <w:rsid w:val="00467F70"/>
    <w:rsid w:val="00475F7E"/>
    <w:rsid w:val="00477E55"/>
    <w:rsid w:val="00477F45"/>
    <w:rsid w:val="00486A8B"/>
    <w:rsid w:val="00491696"/>
    <w:rsid w:val="004916B5"/>
    <w:rsid w:val="00492E3E"/>
    <w:rsid w:val="004951F2"/>
    <w:rsid w:val="004A358B"/>
    <w:rsid w:val="004A5E70"/>
    <w:rsid w:val="004A7945"/>
    <w:rsid w:val="004A8C13"/>
    <w:rsid w:val="004B2395"/>
    <w:rsid w:val="004B4DC4"/>
    <w:rsid w:val="004B641D"/>
    <w:rsid w:val="004B64B2"/>
    <w:rsid w:val="004B6E38"/>
    <w:rsid w:val="004B7CE9"/>
    <w:rsid w:val="004C055D"/>
    <w:rsid w:val="004C51F4"/>
    <w:rsid w:val="004C7EBC"/>
    <w:rsid w:val="004D6FB4"/>
    <w:rsid w:val="004D72E5"/>
    <w:rsid w:val="004E0FE5"/>
    <w:rsid w:val="004E3851"/>
    <w:rsid w:val="004E3A5B"/>
    <w:rsid w:val="004E5D76"/>
    <w:rsid w:val="00501016"/>
    <w:rsid w:val="0050574D"/>
    <w:rsid w:val="0050792D"/>
    <w:rsid w:val="00507CD5"/>
    <w:rsid w:val="00507DDC"/>
    <w:rsid w:val="005127F5"/>
    <w:rsid w:val="0051434F"/>
    <w:rsid w:val="00516837"/>
    <w:rsid w:val="00520E91"/>
    <w:rsid w:val="005210D2"/>
    <w:rsid w:val="00525F85"/>
    <w:rsid w:val="00526320"/>
    <w:rsid w:val="00527BA2"/>
    <w:rsid w:val="00531DC8"/>
    <w:rsid w:val="0053504C"/>
    <w:rsid w:val="00536DBD"/>
    <w:rsid w:val="0054200D"/>
    <w:rsid w:val="005439F9"/>
    <w:rsid w:val="0054640E"/>
    <w:rsid w:val="0055389E"/>
    <w:rsid w:val="005539AE"/>
    <w:rsid w:val="0055774C"/>
    <w:rsid w:val="0056068A"/>
    <w:rsid w:val="00560785"/>
    <w:rsid w:val="005620FA"/>
    <w:rsid w:val="00565AEB"/>
    <w:rsid w:val="005703D0"/>
    <w:rsid w:val="00572A90"/>
    <w:rsid w:val="00574A4D"/>
    <w:rsid w:val="005812DA"/>
    <w:rsid w:val="00582EA2"/>
    <w:rsid w:val="00585BC7"/>
    <w:rsid w:val="00586F32"/>
    <w:rsid w:val="00595548"/>
    <w:rsid w:val="005A0AA5"/>
    <w:rsid w:val="005A554B"/>
    <w:rsid w:val="005A79FF"/>
    <w:rsid w:val="005B2C52"/>
    <w:rsid w:val="005B4CB0"/>
    <w:rsid w:val="005B6AE0"/>
    <w:rsid w:val="005C4580"/>
    <w:rsid w:val="005C4D52"/>
    <w:rsid w:val="005C5877"/>
    <w:rsid w:val="005C7BA6"/>
    <w:rsid w:val="005D0028"/>
    <w:rsid w:val="005D2486"/>
    <w:rsid w:val="005DA824"/>
    <w:rsid w:val="005E11AE"/>
    <w:rsid w:val="005E4888"/>
    <w:rsid w:val="005E53C2"/>
    <w:rsid w:val="005E7BF0"/>
    <w:rsid w:val="005F1581"/>
    <w:rsid w:val="005F3ED5"/>
    <w:rsid w:val="00604F56"/>
    <w:rsid w:val="0062024F"/>
    <w:rsid w:val="006228F1"/>
    <w:rsid w:val="00627DDF"/>
    <w:rsid w:val="00632E37"/>
    <w:rsid w:val="00633288"/>
    <w:rsid w:val="00635D51"/>
    <w:rsid w:val="00635E8F"/>
    <w:rsid w:val="00635F45"/>
    <w:rsid w:val="00642BA7"/>
    <w:rsid w:val="00642F2E"/>
    <w:rsid w:val="00643979"/>
    <w:rsid w:val="00646476"/>
    <w:rsid w:val="00650EC3"/>
    <w:rsid w:val="0066450C"/>
    <w:rsid w:val="00666CAE"/>
    <w:rsid w:val="00666D30"/>
    <w:rsid w:val="006702EE"/>
    <w:rsid w:val="00673697"/>
    <w:rsid w:val="00674672"/>
    <w:rsid w:val="00675EAC"/>
    <w:rsid w:val="006773E2"/>
    <w:rsid w:val="00680755"/>
    <w:rsid w:val="00681167"/>
    <w:rsid w:val="00683289"/>
    <w:rsid w:val="0068484A"/>
    <w:rsid w:val="0069316A"/>
    <w:rsid w:val="00697D1D"/>
    <w:rsid w:val="006A64E4"/>
    <w:rsid w:val="006B2458"/>
    <w:rsid w:val="006B2D46"/>
    <w:rsid w:val="006B4390"/>
    <w:rsid w:val="006B4EFF"/>
    <w:rsid w:val="006C24DF"/>
    <w:rsid w:val="006C4CCB"/>
    <w:rsid w:val="006C575F"/>
    <w:rsid w:val="006C75D1"/>
    <w:rsid w:val="006D199C"/>
    <w:rsid w:val="006D6405"/>
    <w:rsid w:val="006E54CC"/>
    <w:rsid w:val="006F7AC8"/>
    <w:rsid w:val="00707431"/>
    <w:rsid w:val="0071121C"/>
    <w:rsid w:val="00714CCD"/>
    <w:rsid w:val="00717A1D"/>
    <w:rsid w:val="00717E14"/>
    <w:rsid w:val="00727431"/>
    <w:rsid w:val="0073148D"/>
    <w:rsid w:val="00731FCF"/>
    <w:rsid w:val="0073203E"/>
    <w:rsid w:val="0073357C"/>
    <w:rsid w:val="007357EF"/>
    <w:rsid w:val="00741832"/>
    <w:rsid w:val="0074549D"/>
    <w:rsid w:val="00745D16"/>
    <w:rsid w:val="007515DB"/>
    <w:rsid w:val="00756DAD"/>
    <w:rsid w:val="00760497"/>
    <w:rsid w:val="007662F5"/>
    <w:rsid w:val="00771C1A"/>
    <w:rsid w:val="00771C5B"/>
    <w:rsid w:val="0077250E"/>
    <w:rsid w:val="00772D98"/>
    <w:rsid w:val="00774E1D"/>
    <w:rsid w:val="00775AC9"/>
    <w:rsid w:val="00776167"/>
    <w:rsid w:val="007770B4"/>
    <w:rsid w:val="00780868"/>
    <w:rsid w:val="0078406B"/>
    <w:rsid w:val="007910D7"/>
    <w:rsid w:val="007949E5"/>
    <w:rsid w:val="00794FC2"/>
    <w:rsid w:val="00795802"/>
    <w:rsid w:val="00795F16"/>
    <w:rsid w:val="007A1769"/>
    <w:rsid w:val="007A59C1"/>
    <w:rsid w:val="007B78E1"/>
    <w:rsid w:val="007C6A73"/>
    <w:rsid w:val="007C7338"/>
    <w:rsid w:val="007D5837"/>
    <w:rsid w:val="007E0737"/>
    <w:rsid w:val="007E0A25"/>
    <w:rsid w:val="007F0F96"/>
    <w:rsid w:val="007F2DA0"/>
    <w:rsid w:val="007F3AE9"/>
    <w:rsid w:val="007F6B94"/>
    <w:rsid w:val="0080018C"/>
    <w:rsid w:val="00801813"/>
    <w:rsid w:val="0080283D"/>
    <w:rsid w:val="0080347A"/>
    <w:rsid w:val="00807F7A"/>
    <w:rsid w:val="00812088"/>
    <w:rsid w:val="008164F7"/>
    <w:rsid w:val="008177CF"/>
    <w:rsid w:val="0082049C"/>
    <w:rsid w:val="008216B9"/>
    <w:rsid w:val="0082202B"/>
    <w:rsid w:val="00825B2A"/>
    <w:rsid w:val="0082D0BE"/>
    <w:rsid w:val="00832DC4"/>
    <w:rsid w:val="00833554"/>
    <w:rsid w:val="00835A09"/>
    <w:rsid w:val="00843A9A"/>
    <w:rsid w:val="00846636"/>
    <w:rsid w:val="008471F3"/>
    <w:rsid w:val="0085248B"/>
    <w:rsid w:val="008548F1"/>
    <w:rsid w:val="00856196"/>
    <w:rsid w:val="008578AE"/>
    <w:rsid w:val="00865AB5"/>
    <w:rsid w:val="00867C4D"/>
    <w:rsid w:val="00872BCB"/>
    <w:rsid w:val="00874723"/>
    <w:rsid w:val="0087576A"/>
    <w:rsid w:val="00880408"/>
    <w:rsid w:val="008805E4"/>
    <w:rsid w:val="00881539"/>
    <w:rsid w:val="00884C76"/>
    <w:rsid w:val="0089190F"/>
    <w:rsid w:val="008935EA"/>
    <w:rsid w:val="008B22BD"/>
    <w:rsid w:val="008B3828"/>
    <w:rsid w:val="008B4A29"/>
    <w:rsid w:val="008B6859"/>
    <w:rsid w:val="008C0252"/>
    <w:rsid w:val="008D2545"/>
    <w:rsid w:val="008D31BA"/>
    <w:rsid w:val="008D62EC"/>
    <w:rsid w:val="008E0E60"/>
    <w:rsid w:val="008E1141"/>
    <w:rsid w:val="008E1638"/>
    <w:rsid w:val="008E3945"/>
    <w:rsid w:val="008F16FA"/>
    <w:rsid w:val="008F3090"/>
    <w:rsid w:val="008F3149"/>
    <w:rsid w:val="008F5889"/>
    <w:rsid w:val="008F6B7C"/>
    <w:rsid w:val="009032A1"/>
    <w:rsid w:val="00905310"/>
    <w:rsid w:val="00910D55"/>
    <w:rsid w:val="00912BDA"/>
    <w:rsid w:val="00912D50"/>
    <w:rsid w:val="009151CB"/>
    <w:rsid w:val="00924DD3"/>
    <w:rsid w:val="009258A7"/>
    <w:rsid w:val="009260BC"/>
    <w:rsid w:val="00926A42"/>
    <w:rsid w:val="00927FB1"/>
    <w:rsid w:val="00934137"/>
    <w:rsid w:val="009348A0"/>
    <w:rsid w:val="00935DEB"/>
    <w:rsid w:val="00940358"/>
    <w:rsid w:val="00942777"/>
    <w:rsid w:val="00942FA0"/>
    <w:rsid w:val="00943253"/>
    <w:rsid w:val="00950067"/>
    <w:rsid w:val="00952881"/>
    <w:rsid w:val="00956F10"/>
    <w:rsid w:val="0095709E"/>
    <w:rsid w:val="00963449"/>
    <w:rsid w:val="00965E6E"/>
    <w:rsid w:val="00970803"/>
    <w:rsid w:val="00972C7A"/>
    <w:rsid w:val="00974A9B"/>
    <w:rsid w:val="009827FC"/>
    <w:rsid w:val="009867DC"/>
    <w:rsid w:val="00986CCB"/>
    <w:rsid w:val="00992FDC"/>
    <w:rsid w:val="009A0591"/>
    <w:rsid w:val="009A6C34"/>
    <w:rsid w:val="009B1922"/>
    <w:rsid w:val="009B3705"/>
    <w:rsid w:val="009C27E7"/>
    <w:rsid w:val="009D4E2C"/>
    <w:rsid w:val="009D50FB"/>
    <w:rsid w:val="009D7BE4"/>
    <w:rsid w:val="009E696D"/>
    <w:rsid w:val="009E76B6"/>
    <w:rsid w:val="009F135D"/>
    <w:rsid w:val="009F58DD"/>
    <w:rsid w:val="009F6CC6"/>
    <w:rsid w:val="009F6EF9"/>
    <w:rsid w:val="00A02232"/>
    <w:rsid w:val="00A029BE"/>
    <w:rsid w:val="00A10DBD"/>
    <w:rsid w:val="00A13886"/>
    <w:rsid w:val="00A170C4"/>
    <w:rsid w:val="00A22C57"/>
    <w:rsid w:val="00A2570B"/>
    <w:rsid w:val="00A2731D"/>
    <w:rsid w:val="00A31A06"/>
    <w:rsid w:val="00A34EFB"/>
    <w:rsid w:val="00A40011"/>
    <w:rsid w:val="00A42AB1"/>
    <w:rsid w:val="00A43F80"/>
    <w:rsid w:val="00A4566B"/>
    <w:rsid w:val="00A46EAE"/>
    <w:rsid w:val="00A509DB"/>
    <w:rsid w:val="00A53065"/>
    <w:rsid w:val="00A56081"/>
    <w:rsid w:val="00A60130"/>
    <w:rsid w:val="00A709AB"/>
    <w:rsid w:val="00A7372F"/>
    <w:rsid w:val="00A83CAA"/>
    <w:rsid w:val="00A91626"/>
    <w:rsid w:val="00A921F7"/>
    <w:rsid w:val="00A938B8"/>
    <w:rsid w:val="00A954F6"/>
    <w:rsid w:val="00AA19F2"/>
    <w:rsid w:val="00AA38E1"/>
    <w:rsid w:val="00AA3F81"/>
    <w:rsid w:val="00AA4C77"/>
    <w:rsid w:val="00AA651E"/>
    <w:rsid w:val="00AB0908"/>
    <w:rsid w:val="00AB482D"/>
    <w:rsid w:val="00AB6CBE"/>
    <w:rsid w:val="00AC353A"/>
    <w:rsid w:val="00AC6E37"/>
    <w:rsid w:val="00AD0849"/>
    <w:rsid w:val="00AD182B"/>
    <w:rsid w:val="00AD4195"/>
    <w:rsid w:val="00AD673B"/>
    <w:rsid w:val="00AE278A"/>
    <w:rsid w:val="00AE422F"/>
    <w:rsid w:val="00AE7288"/>
    <w:rsid w:val="00AF1B91"/>
    <w:rsid w:val="00AF5CC3"/>
    <w:rsid w:val="00AF5E4E"/>
    <w:rsid w:val="00AF6545"/>
    <w:rsid w:val="00B0198F"/>
    <w:rsid w:val="00B04BAF"/>
    <w:rsid w:val="00B1228F"/>
    <w:rsid w:val="00B1274F"/>
    <w:rsid w:val="00B138ED"/>
    <w:rsid w:val="00B220DB"/>
    <w:rsid w:val="00B31122"/>
    <w:rsid w:val="00B3496E"/>
    <w:rsid w:val="00B36590"/>
    <w:rsid w:val="00B4331C"/>
    <w:rsid w:val="00B44C19"/>
    <w:rsid w:val="00B44DAF"/>
    <w:rsid w:val="00B450EC"/>
    <w:rsid w:val="00B451DB"/>
    <w:rsid w:val="00B4682D"/>
    <w:rsid w:val="00B46C92"/>
    <w:rsid w:val="00B51820"/>
    <w:rsid w:val="00B527CB"/>
    <w:rsid w:val="00B53208"/>
    <w:rsid w:val="00B5376A"/>
    <w:rsid w:val="00B538FC"/>
    <w:rsid w:val="00B54C24"/>
    <w:rsid w:val="00B66441"/>
    <w:rsid w:val="00B73163"/>
    <w:rsid w:val="00B73E71"/>
    <w:rsid w:val="00B8127E"/>
    <w:rsid w:val="00B81A64"/>
    <w:rsid w:val="00B841B9"/>
    <w:rsid w:val="00B87134"/>
    <w:rsid w:val="00B96ABB"/>
    <w:rsid w:val="00BA2005"/>
    <w:rsid w:val="00BA3FF9"/>
    <w:rsid w:val="00BA4A72"/>
    <w:rsid w:val="00BA6378"/>
    <w:rsid w:val="00BB32C0"/>
    <w:rsid w:val="00BB472E"/>
    <w:rsid w:val="00BB505A"/>
    <w:rsid w:val="00BB630F"/>
    <w:rsid w:val="00BB64A6"/>
    <w:rsid w:val="00BC07BC"/>
    <w:rsid w:val="00BC2508"/>
    <w:rsid w:val="00BD331C"/>
    <w:rsid w:val="00BD43CA"/>
    <w:rsid w:val="00BD573C"/>
    <w:rsid w:val="00BD6F28"/>
    <w:rsid w:val="00BE0C45"/>
    <w:rsid w:val="00BE3B7B"/>
    <w:rsid w:val="00BE3D17"/>
    <w:rsid w:val="00BE4165"/>
    <w:rsid w:val="00BF3CD4"/>
    <w:rsid w:val="00BF54F5"/>
    <w:rsid w:val="00C0161F"/>
    <w:rsid w:val="00C043D8"/>
    <w:rsid w:val="00C04833"/>
    <w:rsid w:val="00C06ED0"/>
    <w:rsid w:val="00C07580"/>
    <w:rsid w:val="00C151E1"/>
    <w:rsid w:val="00C15D18"/>
    <w:rsid w:val="00C20A34"/>
    <w:rsid w:val="00C305D9"/>
    <w:rsid w:val="00C310DB"/>
    <w:rsid w:val="00C31F72"/>
    <w:rsid w:val="00C31F8B"/>
    <w:rsid w:val="00C40583"/>
    <w:rsid w:val="00C40936"/>
    <w:rsid w:val="00C41DED"/>
    <w:rsid w:val="00C44501"/>
    <w:rsid w:val="00C4587D"/>
    <w:rsid w:val="00C51308"/>
    <w:rsid w:val="00C517BC"/>
    <w:rsid w:val="00C5302B"/>
    <w:rsid w:val="00C55B13"/>
    <w:rsid w:val="00C55FAC"/>
    <w:rsid w:val="00C7076B"/>
    <w:rsid w:val="00C70A6F"/>
    <w:rsid w:val="00C7341A"/>
    <w:rsid w:val="00C81D6A"/>
    <w:rsid w:val="00C81EEA"/>
    <w:rsid w:val="00C82CCB"/>
    <w:rsid w:val="00C836A4"/>
    <w:rsid w:val="00C840B4"/>
    <w:rsid w:val="00C8445F"/>
    <w:rsid w:val="00C84A7A"/>
    <w:rsid w:val="00C90B4A"/>
    <w:rsid w:val="00C9440D"/>
    <w:rsid w:val="00C9443A"/>
    <w:rsid w:val="00CA1C0B"/>
    <w:rsid w:val="00CA37D0"/>
    <w:rsid w:val="00CA5CB6"/>
    <w:rsid w:val="00CA7DE6"/>
    <w:rsid w:val="00CB27C9"/>
    <w:rsid w:val="00CB6DF9"/>
    <w:rsid w:val="00CC0EC7"/>
    <w:rsid w:val="00CC425F"/>
    <w:rsid w:val="00CC4E03"/>
    <w:rsid w:val="00CD377F"/>
    <w:rsid w:val="00CD4496"/>
    <w:rsid w:val="00CD657A"/>
    <w:rsid w:val="00CD8E58"/>
    <w:rsid w:val="00CE0A94"/>
    <w:rsid w:val="00CE31B8"/>
    <w:rsid w:val="00CF0C84"/>
    <w:rsid w:val="00CF24C5"/>
    <w:rsid w:val="00CF4325"/>
    <w:rsid w:val="00CF54C8"/>
    <w:rsid w:val="00D045CA"/>
    <w:rsid w:val="00D06C1D"/>
    <w:rsid w:val="00D12D7E"/>
    <w:rsid w:val="00D12E44"/>
    <w:rsid w:val="00D20A30"/>
    <w:rsid w:val="00D24ADC"/>
    <w:rsid w:val="00D25CA1"/>
    <w:rsid w:val="00D304ED"/>
    <w:rsid w:val="00D3091E"/>
    <w:rsid w:val="00D31D2A"/>
    <w:rsid w:val="00D33E20"/>
    <w:rsid w:val="00D435B2"/>
    <w:rsid w:val="00D6422C"/>
    <w:rsid w:val="00D65F2F"/>
    <w:rsid w:val="00D678EA"/>
    <w:rsid w:val="00D71C0C"/>
    <w:rsid w:val="00D725FC"/>
    <w:rsid w:val="00D804E4"/>
    <w:rsid w:val="00D81495"/>
    <w:rsid w:val="00D81942"/>
    <w:rsid w:val="00D8204F"/>
    <w:rsid w:val="00D82CEF"/>
    <w:rsid w:val="00D831D7"/>
    <w:rsid w:val="00D87218"/>
    <w:rsid w:val="00D90201"/>
    <w:rsid w:val="00DA13F9"/>
    <w:rsid w:val="00DA328E"/>
    <w:rsid w:val="00DB1EF0"/>
    <w:rsid w:val="00DB2296"/>
    <w:rsid w:val="00DB43E7"/>
    <w:rsid w:val="00DB602F"/>
    <w:rsid w:val="00DC1332"/>
    <w:rsid w:val="00DC3E18"/>
    <w:rsid w:val="00DC6778"/>
    <w:rsid w:val="00DE4DBE"/>
    <w:rsid w:val="00DE5684"/>
    <w:rsid w:val="00DE5C9E"/>
    <w:rsid w:val="00DF1F03"/>
    <w:rsid w:val="00DF700D"/>
    <w:rsid w:val="00E005FC"/>
    <w:rsid w:val="00E03ADD"/>
    <w:rsid w:val="00E057E4"/>
    <w:rsid w:val="00E10F0E"/>
    <w:rsid w:val="00E11B6C"/>
    <w:rsid w:val="00E14468"/>
    <w:rsid w:val="00E14EA9"/>
    <w:rsid w:val="00E15578"/>
    <w:rsid w:val="00E16756"/>
    <w:rsid w:val="00E24321"/>
    <w:rsid w:val="00E258CA"/>
    <w:rsid w:val="00E2638A"/>
    <w:rsid w:val="00E36DDC"/>
    <w:rsid w:val="00E37B8B"/>
    <w:rsid w:val="00E37E69"/>
    <w:rsid w:val="00E40724"/>
    <w:rsid w:val="00E4305C"/>
    <w:rsid w:val="00E43074"/>
    <w:rsid w:val="00E468E6"/>
    <w:rsid w:val="00E51803"/>
    <w:rsid w:val="00E519FB"/>
    <w:rsid w:val="00E5356F"/>
    <w:rsid w:val="00E551E8"/>
    <w:rsid w:val="00E567BE"/>
    <w:rsid w:val="00E56B7A"/>
    <w:rsid w:val="00E7089E"/>
    <w:rsid w:val="00E73390"/>
    <w:rsid w:val="00E84CDA"/>
    <w:rsid w:val="00E93B00"/>
    <w:rsid w:val="00E9524D"/>
    <w:rsid w:val="00E95F11"/>
    <w:rsid w:val="00E97E46"/>
    <w:rsid w:val="00EA1F08"/>
    <w:rsid w:val="00EA63E3"/>
    <w:rsid w:val="00EB0BA8"/>
    <w:rsid w:val="00EB16E3"/>
    <w:rsid w:val="00EB1EC7"/>
    <w:rsid w:val="00EB5B66"/>
    <w:rsid w:val="00EB5E9F"/>
    <w:rsid w:val="00EB6230"/>
    <w:rsid w:val="00EB68BF"/>
    <w:rsid w:val="00EB7343"/>
    <w:rsid w:val="00EC0DAB"/>
    <w:rsid w:val="00EC366C"/>
    <w:rsid w:val="00EC4D89"/>
    <w:rsid w:val="00EC524E"/>
    <w:rsid w:val="00ED3563"/>
    <w:rsid w:val="00EE1740"/>
    <w:rsid w:val="00EE209D"/>
    <w:rsid w:val="00EE2ADE"/>
    <w:rsid w:val="00EE3DF0"/>
    <w:rsid w:val="00EE4CF9"/>
    <w:rsid w:val="00EE5E09"/>
    <w:rsid w:val="00EE5F6D"/>
    <w:rsid w:val="00EE6E00"/>
    <w:rsid w:val="00EF6E97"/>
    <w:rsid w:val="00F0074E"/>
    <w:rsid w:val="00F044C2"/>
    <w:rsid w:val="00F0592E"/>
    <w:rsid w:val="00F067F5"/>
    <w:rsid w:val="00F15F47"/>
    <w:rsid w:val="00F17A00"/>
    <w:rsid w:val="00F2154A"/>
    <w:rsid w:val="00F22B66"/>
    <w:rsid w:val="00F273F0"/>
    <w:rsid w:val="00F27824"/>
    <w:rsid w:val="00F3180B"/>
    <w:rsid w:val="00F32B58"/>
    <w:rsid w:val="00F40FDC"/>
    <w:rsid w:val="00F41415"/>
    <w:rsid w:val="00F42B13"/>
    <w:rsid w:val="00F458C9"/>
    <w:rsid w:val="00F45E49"/>
    <w:rsid w:val="00F4692D"/>
    <w:rsid w:val="00F51398"/>
    <w:rsid w:val="00F62871"/>
    <w:rsid w:val="00F63AE0"/>
    <w:rsid w:val="00F63B8D"/>
    <w:rsid w:val="00F6553C"/>
    <w:rsid w:val="00F6589B"/>
    <w:rsid w:val="00F67F75"/>
    <w:rsid w:val="00F7001B"/>
    <w:rsid w:val="00F70102"/>
    <w:rsid w:val="00F71D34"/>
    <w:rsid w:val="00F74535"/>
    <w:rsid w:val="00F759B8"/>
    <w:rsid w:val="00F7EB9A"/>
    <w:rsid w:val="00F8029C"/>
    <w:rsid w:val="00F81ED7"/>
    <w:rsid w:val="00F851EE"/>
    <w:rsid w:val="00F86683"/>
    <w:rsid w:val="00F944D7"/>
    <w:rsid w:val="00F96EC9"/>
    <w:rsid w:val="00FA6BEE"/>
    <w:rsid w:val="00FB16B7"/>
    <w:rsid w:val="00FB21E8"/>
    <w:rsid w:val="00FB455A"/>
    <w:rsid w:val="00FB49EB"/>
    <w:rsid w:val="00FB4DB0"/>
    <w:rsid w:val="00FB54C8"/>
    <w:rsid w:val="00FC4151"/>
    <w:rsid w:val="00FD439A"/>
    <w:rsid w:val="00FD7893"/>
    <w:rsid w:val="00FE25A6"/>
    <w:rsid w:val="00FE4BA8"/>
    <w:rsid w:val="00FE5F09"/>
    <w:rsid w:val="00FE61EB"/>
    <w:rsid w:val="00FE7373"/>
    <w:rsid w:val="00FE7AAA"/>
    <w:rsid w:val="00FF0119"/>
    <w:rsid w:val="00FF7B67"/>
    <w:rsid w:val="01064F4B"/>
    <w:rsid w:val="011AB126"/>
    <w:rsid w:val="0147B321"/>
    <w:rsid w:val="014A4C29"/>
    <w:rsid w:val="015C3D61"/>
    <w:rsid w:val="01980336"/>
    <w:rsid w:val="01E9B9B2"/>
    <w:rsid w:val="01FC4279"/>
    <w:rsid w:val="021C7D2F"/>
    <w:rsid w:val="0232A713"/>
    <w:rsid w:val="026C9B96"/>
    <w:rsid w:val="02DD412B"/>
    <w:rsid w:val="02DF4300"/>
    <w:rsid w:val="0316DBF8"/>
    <w:rsid w:val="03407B6C"/>
    <w:rsid w:val="035E178A"/>
    <w:rsid w:val="038F58B2"/>
    <w:rsid w:val="039F9321"/>
    <w:rsid w:val="03D15BE9"/>
    <w:rsid w:val="03D5E14C"/>
    <w:rsid w:val="0407A136"/>
    <w:rsid w:val="040B86B0"/>
    <w:rsid w:val="04163871"/>
    <w:rsid w:val="041C4D6E"/>
    <w:rsid w:val="04790049"/>
    <w:rsid w:val="047F0664"/>
    <w:rsid w:val="04814331"/>
    <w:rsid w:val="04AAA9C3"/>
    <w:rsid w:val="04B72A6C"/>
    <w:rsid w:val="04B9ED3F"/>
    <w:rsid w:val="04C63FB9"/>
    <w:rsid w:val="04C938AF"/>
    <w:rsid w:val="04D8895F"/>
    <w:rsid w:val="04F7BC02"/>
    <w:rsid w:val="05052F26"/>
    <w:rsid w:val="05169F8D"/>
    <w:rsid w:val="05B3E42B"/>
    <w:rsid w:val="05B8993D"/>
    <w:rsid w:val="05FE6CAA"/>
    <w:rsid w:val="062CC159"/>
    <w:rsid w:val="064B2037"/>
    <w:rsid w:val="0674A77B"/>
    <w:rsid w:val="0689BB30"/>
    <w:rsid w:val="06A17A24"/>
    <w:rsid w:val="07153BC8"/>
    <w:rsid w:val="0743006A"/>
    <w:rsid w:val="074A5BC7"/>
    <w:rsid w:val="0752B9E2"/>
    <w:rsid w:val="0756D279"/>
    <w:rsid w:val="075B429A"/>
    <w:rsid w:val="07AA961B"/>
    <w:rsid w:val="07E3BC64"/>
    <w:rsid w:val="0844A024"/>
    <w:rsid w:val="086F9CBC"/>
    <w:rsid w:val="0876D9EC"/>
    <w:rsid w:val="087AD1EA"/>
    <w:rsid w:val="08B85767"/>
    <w:rsid w:val="08C8B0C4"/>
    <w:rsid w:val="08D87B16"/>
    <w:rsid w:val="08FA8901"/>
    <w:rsid w:val="08FED49B"/>
    <w:rsid w:val="091A73C1"/>
    <w:rsid w:val="092E33F9"/>
    <w:rsid w:val="09C66174"/>
    <w:rsid w:val="09FD4B0F"/>
    <w:rsid w:val="0A0512E2"/>
    <w:rsid w:val="0A2531C4"/>
    <w:rsid w:val="0A2B4F25"/>
    <w:rsid w:val="0A321CC1"/>
    <w:rsid w:val="0A45CB7D"/>
    <w:rsid w:val="0A568CF3"/>
    <w:rsid w:val="0A5E8057"/>
    <w:rsid w:val="0ACC2455"/>
    <w:rsid w:val="0B3A1C06"/>
    <w:rsid w:val="0B61CA63"/>
    <w:rsid w:val="0B6970B2"/>
    <w:rsid w:val="0B6DD114"/>
    <w:rsid w:val="0B814370"/>
    <w:rsid w:val="0B81CEAD"/>
    <w:rsid w:val="0BC8F018"/>
    <w:rsid w:val="0BE87705"/>
    <w:rsid w:val="0BF8D58A"/>
    <w:rsid w:val="0C24349B"/>
    <w:rsid w:val="0C29A86D"/>
    <w:rsid w:val="0C2D5C9A"/>
    <w:rsid w:val="0C324EE8"/>
    <w:rsid w:val="0C3A1A46"/>
    <w:rsid w:val="0C4FCE76"/>
    <w:rsid w:val="0C576763"/>
    <w:rsid w:val="0C84B872"/>
    <w:rsid w:val="0C9AD15A"/>
    <w:rsid w:val="0CAED2C0"/>
    <w:rsid w:val="0CB4A560"/>
    <w:rsid w:val="0CC4CC2F"/>
    <w:rsid w:val="0CC80028"/>
    <w:rsid w:val="0CC8EC19"/>
    <w:rsid w:val="0D045344"/>
    <w:rsid w:val="0D1350B6"/>
    <w:rsid w:val="0D163765"/>
    <w:rsid w:val="0D1668AA"/>
    <w:rsid w:val="0D1D659F"/>
    <w:rsid w:val="0D242F21"/>
    <w:rsid w:val="0D626D3F"/>
    <w:rsid w:val="0DA06177"/>
    <w:rsid w:val="0DB2D948"/>
    <w:rsid w:val="0DB3C7DC"/>
    <w:rsid w:val="0DB9819B"/>
    <w:rsid w:val="0DDAF231"/>
    <w:rsid w:val="0DDBE62C"/>
    <w:rsid w:val="0E47C3E5"/>
    <w:rsid w:val="0E54B3AE"/>
    <w:rsid w:val="0E6412F1"/>
    <w:rsid w:val="0E8868A8"/>
    <w:rsid w:val="0E8DC690"/>
    <w:rsid w:val="0EDAD93B"/>
    <w:rsid w:val="0F39578F"/>
    <w:rsid w:val="0F51A5DE"/>
    <w:rsid w:val="0F8E0135"/>
    <w:rsid w:val="0FBF5519"/>
    <w:rsid w:val="0FC4DAC1"/>
    <w:rsid w:val="0FDF3A3B"/>
    <w:rsid w:val="1035B905"/>
    <w:rsid w:val="10505D30"/>
    <w:rsid w:val="105B5DE2"/>
    <w:rsid w:val="106816FE"/>
    <w:rsid w:val="109B65F0"/>
    <w:rsid w:val="109EB679"/>
    <w:rsid w:val="10A0CE93"/>
    <w:rsid w:val="10B962C0"/>
    <w:rsid w:val="10D72B0B"/>
    <w:rsid w:val="10DBFA52"/>
    <w:rsid w:val="10EC5099"/>
    <w:rsid w:val="10EDC5E2"/>
    <w:rsid w:val="11348092"/>
    <w:rsid w:val="116813C1"/>
    <w:rsid w:val="117E723A"/>
    <w:rsid w:val="118C9EE3"/>
    <w:rsid w:val="11AC87A0"/>
    <w:rsid w:val="11B70CBE"/>
    <w:rsid w:val="11C8A33C"/>
    <w:rsid w:val="11DCE22A"/>
    <w:rsid w:val="11FE0889"/>
    <w:rsid w:val="123AF2DB"/>
    <w:rsid w:val="12656D9B"/>
    <w:rsid w:val="129467D1"/>
    <w:rsid w:val="13309087"/>
    <w:rsid w:val="13521BD6"/>
    <w:rsid w:val="1362E162"/>
    <w:rsid w:val="13691E15"/>
    <w:rsid w:val="13871BE9"/>
    <w:rsid w:val="13A061C2"/>
    <w:rsid w:val="13A11EB4"/>
    <w:rsid w:val="13AF10CA"/>
    <w:rsid w:val="13EBDFAB"/>
    <w:rsid w:val="13F09CD4"/>
    <w:rsid w:val="1483E6AB"/>
    <w:rsid w:val="14FD0034"/>
    <w:rsid w:val="1551135C"/>
    <w:rsid w:val="155E7441"/>
    <w:rsid w:val="15613292"/>
    <w:rsid w:val="158251E0"/>
    <w:rsid w:val="15830CD1"/>
    <w:rsid w:val="15850F97"/>
    <w:rsid w:val="15888AA4"/>
    <w:rsid w:val="15B56D73"/>
    <w:rsid w:val="15C8937E"/>
    <w:rsid w:val="15D939FA"/>
    <w:rsid w:val="15DBF275"/>
    <w:rsid w:val="16167731"/>
    <w:rsid w:val="162A88C8"/>
    <w:rsid w:val="162EF17F"/>
    <w:rsid w:val="1634C0BC"/>
    <w:rsid w:val="16490614"/>
    <w:rsid w:val="168A0DD9"/>
    <w:rsid w:val="16E911D5"/>
    <w:rsid w:val="16F4A413"/>
    <w:rsid w:val="1706DC42"/>
    <w:rsid w:val="174BE942"/>
    <w:rsid w:val="175F1B0B"/>
    <w:rsid w:val="1760D1C3"/>
    <w:rsid w:val="1791700F"/>
    <w:rsid w:val="17A07AB2"/>
    <w:rsid w:val="17A1D9F8"/>
    <w:rsid w:val="17DC1630"/>
    <w:rsid w:val="17E04039"/>
    <w:rsid w:val="1802521F"/>
    <w:rsid w:val="182526AD"/>
    <w:rsid w:val="1832CBE1"/>
    <w:rsid w:val="18E7BBE6"/>
    <w:rsid w:val="18E8ACDF"/>
    <w:rsid w:val="18ED1B83"/>
    <w:rsid w:val="19194D3A"/>
    <w:rsid w:val="191AD826"/>
    <w:rsid w:val="1945180A"/>
    <w:rsid w:val="195232F3"/>
    <w:rsid w:val="1967B4C3"/>
    <w:rsid w:val="19A770E2"/>
    <w:rsid w:val="19AB7C52"/>
    <w:rsid w:val="1A5E2D63"/>
    <w:rsid w:val="1A64D156"/>
    <w:rsid w:val="1A87C95E"/>
    <w:rsid w:val="1A8B7817"/>
    <w:rsid w:val="1A912415"/>
    <w:rsid w:val="1A98B18D"/>
    <w:rsid w:val="1AB331D6"/>
    <w:rsid w:val="1AB59920"/>
    <w:rsid w:val="1AD6CA8B"/>
    <w:rsid w:val="1AD82789"/>
    <w:rsid w:val="1ADA5521"/>
    <w:rsid w:val="1B35FF29"/>
    <w:rsid w:val="1B563DC7"/>
    <w:rsid w:val="1B666EEA"/>
    <w:rsid w:val="1B6B189C"/>
    <w:rsid w:val="1B8BC0D1"/>
    <w:rsid w:val="1BB53CFE"/>
    <w:rsid w:val="1BB9597E"/>
    <w:rsid w:val="1BDDFD56"/>
    <w:rsid w:val="1C1E0817"/>
    <w:rsid w:val="1C23537A"/>
    <w:rsid w:val="1C26DA6C"/>
    <w:rsid w:val="1C60B8A2"/>
    <w:rsid w:val="1C74644F"/>
    <w:rsid w:val="1C92338F"/>
    <w:rsid w:val="1CB260BE"/>
    <w:rsid w:val="1CDD7066"/>
    <w:rsid w:val="1D3DAF9D"/>
    <w:rsid w:val="1D414A0B"/>
    <w:rsid w:val="1D493C4A"/>
    <w:rsid w:val="1D49CAB6"/>
    <w:rsid w:val="1D731281"/>
    <w:rsid w:val="1D87BC26"/>
    <w:rsid w:val="1DCB1081"/>
    <w:rsid w:val="1DCC8871"/>
    <w:rsid w:val="1DD779D5"/>
    <w:rsid w:val="1DD99A9C"/>
    <w:rsid w:val="1DE24DD3"/>
    <w:rsid w:val="1DED5F75"/>
    <w:rsid w:val="1DF833BA"/>
    <w:rsid w:val="1E56713C"/>
    <w:rsid w:val="1E6C03E7"/>
    <w:rsid w:val="1EB88702"/>
    <w:rsid w:val="1EBF2FE6"/>
    <w:rsid w:val="1EC509BB"/>
    <w:rsid w:val="1EC87BAD"/>
    <w:rsid w:val="1EE5A9B7"/>
    <w:rsid w:val="1EF7F9E2"/>
    <w:rsid w:val="1F1D167B"/>
    <w:rsid w:val="1F417C7C"/>
    <w:rsid w:val="1F73D3B7"/>
    <w:rsid w:val="1F7C4658"/>
    <w:rsid w:val="1F8EC8AD"/>
    <w:rsid w:val="1FFBBD9F"/>
    <w:rsid w:val="200E71D2"/>
    <w:rsid w:val="200EF92B"/>
    <w:rsid w:val="20194D11"/>
    <w:rsid w:val="201A2097"/>
    <w:rsid w:val="202FDA27"/>
    <w:rsid w:val="20475055"/>
    <w:rsid w:val="2054E6EB"/>
    <w:rsid w:val="208616DF"/>
    <w:rsid w:val="209FB27C"/>
    <w:rsid w:val="20CFC37D"/>
    <w:rsid w:val="20DCE3C3"/>
    <w:rsid w:val="20E28535"/>
    <w:rsid w:val="2122C00E"/>
    <w:rsid w:val="21597994"/>
    <w:rsid w:val="2174237B"/>
    <w:rsid w:val="218B151D"/>
    <w:rsid w:val="218D2C06"/>
    <w:rsid w:val="21AD6EBA"/>
    <w:rsid w:val="21EE339A"/>
    <w:rsid w:val="2204D885"/>
    <w:rsid w:val="2208CEAD"/>
    <w:rsid w:val="220EC7DF"/>
    <w:rsid w:val="221B51C0"/>
    <w:rsid w:val="2228193F"/>
    <w:rsid w:val="224298E4"/>
    <w:rsid w:val="22578122"/>
    <w:rsid w:val="2278D7D1"/>
    <w:rsid w:val="227EEDD5"/>
    <w:rsid w:val="22B40738"/>
    <w:rsid w:val="22F8DB5D"/>
    <w:rsid w:val="23135588"/>
    <w:rsid w:val="23408DEA"/>
    <w:rsid w:val="23714054"/>
    <w:rsid w:val="239611F5"/>
    <w:rsid w:val="23B12290"/>
    <w:rsid w:val="23B3A91E"/>
    <w:rsid w:val="23C2C9A3"/>
    <w:rsid w:val="23CE9C34"/>
    <w:rsid w:val="23D093A1"/>
    <w:rsid w:val="23D90863"/>
    <w:rsid w:val="23ED5299"/>
    <w:rsid w:val="23F62D09"/>
    <w:rsid w:val="2413CD25"/>
    <w:rsid w:val="2418D69E"/>
    <w:rsid w:val="243B64D8"/>
    <w:rsid w:val="245DC225"/>
    <w:rsid w:val="247323A1"/>
    <w:rsid w:val="248DDBBF"/>
    <w:rsid w:val="2499DE49"/>
    <w:rsid w:val="249FED93"/>
    <w:rsid w:val="24C14922"/>
    <w:rsid w:val="24F41965"/>
    <w:rsid w:val="25173031"/>
    <w:rsid w:val="25220420"/>
    <w:rsid w:val="2539D19B"/>
    <w:rsid w:val="259492B2"/>
    <w:rsid w:val="259CA29A"/>
    <w:rsid w:val="25A60CE4"/>
    <w:rsid w:val="25B5C7D5"/>
    <w:rsid w:val="25CBED7F"/>
    <w:rsid w:val="25E56FC2"/>
    <w:rsid w:val="25EDAFFC"/>
    <w:rsid w:val="264C4A15"/>
    <w:rsid w:val="26513C2A"/>
    <w:rsid w:val="266AAC25"/>
    <w:rsid w:val="269AF11B"/>
    <w:rsid w:val="26A11860"/>
    <w:rsid w:val="26AEC70B"/>
    <w:rsid w:val="271F23B0"/>
    <w:rsid w:val="2721CE1D"/>
    <w:rsid w:val="2722A4E3"/>
    <w:rsid w:val="27B68CD9"/>
    <w:rsid w:val="27DA4A5A"/>
    <w:rsid w:val="27F3619C"/>
    <w:rsid w:val="27F83B84"/>
    <w:rsid w:val="281D83FD"/>
    <w:rsid w:val="28205EA5"/>
    <w:rsid w:val="283DDA81"/>
    <w:rsid w:val="2864CC6D"/>
    <w:rsid w:val="286545C6"/>
    <w:rsid w:val="286A47A6"/>
    <w:rsid w:val="286E5983"/>
    <w:rsid w:val="2887C02D"/>
    <w:rsid w:val="288F05C6"/>
    <w:rsid w:val="28953366"/>
    <w:rsid w:val="28B8BC06"/>
    <w:rsid w:val="28C0211A"/>
    <w:rsid w:val="28D2EB74"/>
    <w:rsid w:val="28D971C5"/>
    <w:rsid w:val="28E7B2D1"/>
    <w:rsid w:val="28FBC103"/>
    <w:rsid w:val="29037031"/>
    <w:rsid w:val="2917C738"/>
    <w:rsid w:val="292C1EA8"/>
    <w:rsid w:val="298AAC1B"/>
    <w:rsid w:val="299DD80E"/>
    <w:rsid w:val="29BDA6EE"/>
    <w:rsid w:val="29F5F710"/>
    <w:rsid w:val="2A0FDC86"/>
    <w:rsid w:val="2A2B8AB2"/>
    <w:rsid w:val="2A9E7C19"/>
    <w:rsid w:val="2AE04F91"/>
    <w:rsid w:val="2B036BF5"/>
    <w:rsid w:val="2B1BA9DB"/>
    <w:rsid w:val="2B37253F"/>
    <w:rsid w:val="2B5BEF2F"/>
    <w:rsid w:val="2B644FEF"/>
    <w:rsid w:val="2B73298B"/>
    <w:rsid w:val="2B750899"/>
    <w:rsid w:val="2B9728C4"/>
    <w:rsid w:val="2BA1FE6C"/>
    <w:rsid w:val="2BA8B135"/>
    <w:rsid w:val="2BB8ADFE"/>
    <w:rsid w:val="2BC13E7D"/>
    <w:rsid w:val="2BC3BD48"/>
    <w:rsid w:val="2BF6C70A"/>
    <w:rsid w:val="2C3538F8"/>
    <w:rsid w:val="2C3603BD"/>
    <w:rsid w:val="2C689682"/>
    <w:rsid w:val="2C81518D"/>
    <w:rsid w:val="2C881A41"/>
    <w:rsid w:val="2CB54E44"/>
    <w:rsid w:val="2CD82E05"/>
    <w:rsid w:val="2D0BC479"/>
    <w:rsid w:val="2D1352FC"/>
    <w:rsid w:val="2D31D5D1"/>
    <w:rsid w:val="2D3DDF7C"/>
    <w:rsid w:val="2D46F199"/>
    <w:rsid w:val="2D4EAED4"/>
    <w:rsid w:val="2D6451FA"/>
    <w:rsid w:val="2D661A11"/>
    <w:rsid w:val="2D734F47"/>
    <w:rsid w:val="2D8DAB07"/>
    <w:rsid w:val="2DEADFF7"/>
    <w:rsid w:val="2DEC36A0"/>
    <w:rsid w:val="2DF44250"/>
    <w:rsid w:val="2E126AB6"/>
    <w:rsid w:val="2E799D52"/>
    <w:rsid w:val="2E83D2C6"/>
    <w:rsid w:val="2EB10502"/>
    <w:rsid w:val="2ED68B47"/>
    <w:rsid w:val="2EF7F623"/>
    <w:rsid w:val="2EFB67EE"/>
    <w:rsid w:val="2F2376E0"/>
    <w:rsid w:val="2F2BBEB7"/>
    <w:rsid w:val="2F834EAB"/>
    <w:rsid w:val="2FC7B35F"/>
    <w:rsid w:val="2FD96887"/>
    <w:rsid w:val="2FF718BF"/>
    <w:rsid w:val="30078888"/>
    <w:rsid w:val="301716C3"/>
    <w:rsid w:val="301A7BD7"/>
    <w:rsid w:val="30230532"/>
    <w:rsid w:val="30329960"/>
    <w:rsid w:val="30516F47"/>
    <w:rsid w:val="308B6CF6"/>
    <w:rsid w:val="30B9F340"/>
    <w:rsid w:val="30FE44D3"/>
    <w:rsid w:val="3115D961"/>
    <w:rsid w:val="311ABD70"/>
    <w:rsid w:val="311FABB8"/>
    <w:rsid w:val="3135900C"/>
    <w:rsid w:val="313E69B9"/>
    <w:rsid w:val="314AC45D"/>
    <w:rsid w:val="317595A4"/>
    <w:rsid w:val="317DC237"/>
    <w:rsid w:val="31A99035"/>
    <w:rsid w:val="31C233C3"/>
    <w:rsid w:val="31C46101"/>
    <w:rsid w:val="31CDA1F2"/>
    <w:rsid w:val="320A40B4"/>
    <w:rsid w:val="3211782E"/>
    <w:rsid w:val="325AE5BB"/>
    <w:rsid w:val="327B74A2"/>
    <w:rsid w:val="328E899C"/>
    <w:rsid w:val="32AD920D"/>
    <w:rsid w:val="32B7D734"/>
    <w:rsid w:val="330E0807"/>
    <w:rsid w:val="331B1614"/>
    <w:rsid w:val="33542848"/>
    <w:rsid w:val="3369990E"/>
    <w:rsid w:val="337F4E42"/>
    <w:rsid w:val="3390B620"/>
    <w:rsid w:val="3390C72E"/>
    <w:rsid w:val="33924794"/>
    <w:rsid w:val="33B1776F"/>
    <w:rsid w:val="33D2FC83"/>
    <w:rsid w:val="33DE71B7"/>
    <w:rsid w:val="3406DAA6"/>
    <w:rsid w:val="342DFCA2"/>
    <w:rsid w:val="342E2B85"/>
    <w:rsid w:val="348B1948"/>
    <w:rsid w:val="34987364"/>
    <w:rsid w:val="34B4F6C9"/>
    <w:rsid w:val="34C40D40"/>
    <w:rsid w:val="34DD30D1"/>
    <w:rsid w:val="34DE4915"/>
    <w:rsid w:val="34E037E0"/>
    <w:rsid w:val="34EB6068"/>
    <w:rsid w:val="35279688"/>
    <w:rsid w:val="356AF298"/>
    <w:rsid w:val="357580B9"/>
    <w:rsid w:val="358F526F"/>
    <w:rsid w:val="35F4BEA8"/>
    <w:rsid w:val="361DED50"/>
    <w:rsid w:val="36343931"/>
    <w:rsid w:val="3634D0BD"/>
    <w:rsid w:val="3661931A"/>
    <w:rsid w:val="3665A055"/>
    <w:rsid w:val="3668249A"/>
    <w:rsid w:val="366A0451"/>
    <w:rsid w:val="370F1300"/>
    <w:rsid w:val="3758EEE6"/>
    <w:rsid w:val="376377F3"/>
    <w:rsid w:val="376461C3"/>
    <w:rsid w:val="37988B68"/>
    <w:rsid w:val="379EB5CD"/>
    <w:rsid w:val="37B8789A"/>
    <w:rsid w:val="37BEBD1E"/>
    <w:rsid w:val="3856FE31"/>
    <w:rsid w:val="38A26708"/>
    <w:rsid w:val="38BA757B"/>
    <w:rsid w:val="38C488E6"/>
    <w:rsid w:val="38E0AF24"/>
    <w:rsid w:val="38E2131F"/>
    <w:rsid w:val="38EEEDA4"/>
    <w:rsid w:val="39168EA7"/>
    <w:rsid w:val="3929B968"/>
    <w:rsid w:val="3945AD12"/>
    <w:rsid w:val="39578109"/>
    <w:rsid w:val="395ACCD8"/>
    <w:rsid w:val="39751120"/>
    <w:rsid w:val="399A117D"/>
    <w:rsid w:val="39DEC770"/>
    <w:rsid w:val="39FA095A"/>
    <w:rsid w:val="3A2D1089"/>
    <w:rsid w:val="3A589166"/>
    <w:rsid w:val="3A5D75C0"/>
    <w:rsid w:val="3A6A4C26"/>
    <w:rsid w:val="3A799835"/>
    <w:rsid w:val="3A9B46E0"/>
    <w:rsid w:val="3ACF262F"/>
    <w:rsid w:val="3AD50740"/>
    <w:rsid w:val="3AF4E866"/>
    <w:rsid w:val="3AF7FD3F"/>
    <w:rsid w:val="3AFBE9E4"/>
    <w:rsid w:val="3B12588B"/>
    <w:rsid w:val="3B138CA2"/>
    <w:rsid w:val="3B1BCF3A"/>
    <w:rsid w:val="3B33D268"/>
    <w:rsid w:val="3B681143"/>
    <w:rsid w:val="3B8B13F7"/>
    <w:rsid w:val="3BB96168"/>
    <w:rsid w:val="3BEB433E"/>
    <w:rsid w:val="3C08F9B1"/>
    <w:rsid w:val="3C1223A2"/>
    <w:rsid w:val="3C1D8941"/>
    <w:rsid w:val="3C2B3E58"/>
    <w:rsid w:val="3C32CE5A"/>
    <w:rsid w:val="3C35E834"/>
    <w:rsid w:val="3CFF1F72"/>
    <w:rsid w:val="3D0E2208"/>
    <w:rsid w:val="3D2A0A1E"/>
    <w:rsid w:val="3D2BDD82"/>
    <w:rsid w:val="3D2FDFA8"/>
    <w:rsid w:val="3D38B4A4"/>
    <w:rsid w:val="3D48EAC6"/>
    <w:rsid w:val="3D7A378F"/>
    <w:rsid w:val="3D7B3E84"/>
    <w:rsid w:val="3DBE988A"/>
    <w:rsid w:val="3DD18404"/>
    <w:rsid w:val="3DD4A5A3"/>
    <w:rsid w:val="3DF149D1"/>
    <w:rsid w:val="3E02B45B"/>
    <w:rsid w:val="3E03A45D"/>
    <w:rsid w:val="3EA7DC31"/>
    <w:rsid w:val="3F2E5250"/>
    <w:rsid w:val="3F3BF2F1"/>
    <w:rsid w:val="3F4D37C6"/>
    <w:rsid w:val="3F53A016"/>
    <w:rsid w:val="3F53E021"/>
    <w:rsid w:val="3F991955"/>
    <w:rsid w:val="3F9A5CE6"/>
    <w:rsid w:val="3FCBB3C6"/>
    <w:rsid w:val="3FF198D4"/>
    <w:rsid w:val="40027EE0"/>
    <w:rsid w:val="400F9FBC"/>
    <w:rsid w:val="4014997C"/>
    <w:rsid w:val="4028B763"/>
    <w:rsid w:val="403515EC"/>
    <w:rsid w:val="4037EAC3"/>
    <w:rsid w:val="4069616C"/>
    <w:rsid w:val="409938BF"/>
    <w:rsid w:val="409EB553"/>
    <w:rsid w:val="40A3008A"/>
    <w:rsid w:val="40A53ACD"/>
    <w:rsid w:val="40AD2E18"/>
    <w:rsid w:val="40B817B5"/>
    <w:rsid w:val="40BB3568"/>
    <w:rsid w:val="40C84549"/>
    <w:rsid w:val="410929CE"/>
    <w:rsid w:val="411E2929"/>
    <w:rsid w:val="413866C3"/>
    <w:rsid w:val="413D7BDC"/>
    <w:rsid w:val="41530C5D"/>
    <w:rsid w:val="41582742"/>
    <w:rsid w:val="418649C4"/>
    <w:rsid w:val="41F9B4FB"/>
    <w:rsid w:val="41FB9EC4"/>
    <w:rsid w:val="42032F96"/>
    <w:rsid w:val="42088EB5"/>
    <w:rsid w:val="4218C299"/>
    <w:rsid w:val="42318BFD"/>
    <w:rsid w:val="4254939A"/>
    <w:rsid w:val="429C1A63"/>
    <w:rsid w:val="42C09A9E"/>
    <w:rsid w:val="42F8AE0F"/>
    <w:rsid w:val="43486F63"/>
    <w:rsid w:val="435AE18A"/>
    <w:rsid w:val="4368F9A0"/>
    <w:rsid w:val="4391AA8A"/>
    <w:rsid w:val="43AA4C1A"/>
    <w:rsid w:val="43B35164"/>
    <w:rsid w:val="44055D31"/>
    <w:rsid w:val="44193E06"/>
    <w:rsid w:val="442B1D79"/>
    <w:rsid w:val="443BC316"/>
    <w:rsid w:val="4443E50F"/>
    <w:rsid w:val="444576F8"/>
    <w:rsid w:val="445AF30E"/>
    <w:rsid w:val="446000C3"/>
    <w:rsid w:val="44B03F77"/>
    <w:rsid w:val="44C93C77"/>
    <w:rsid w:val="44EAF9C9"/>
    <w:rsid w:val="44EBDCE7"/>
    <w:rsid w:val="45540519"/>
    <w:rsid w:val="455C914E"/>
    <w:rsid w:val="458A9E86"/>
    <w:rsid w:val="458EE17B"/>
    <w:rsid w:val="45ACFCB8"/>
    <w:rsid w:val="45ADA40E"/>
    <w:rsid w:val="45FB6DF6"/>
    <w:rsid w:val="4623034C"/>
    <w:rsid w:val="4626E1BC"/>
    <w:rsid w:val="463FC910"/>
    <w:rsid w:val="463FDBA9"/>
    <w:rsid w:val="467293A0"/>
    <w:rsid w:val="46FE4AB5"/>
    <w:rsid w:val="471C3A49"/>
    <w:rsid w:val="47244D5F"/>
    <w:rsid w:val="47323799"/>
    <w:rsid w:val="474DD58E"/>
    <w:rsid w:val="47D0B8C7"/>
    <w:rsid w:val="47F951E4"/>
    <w:rsid w:val="480E0457"/>
    <w:rsid w:val="483A768D"/>
    <w:rsid w:val="487E4D36"/>
    <w:rsid w:val="48B2564B"/>
    <w:rsid w:val="490FCF6F"/>
    <w:rsid w:val="4916A0FF"/>
    <w:rsid w:val="491C5AFD"/>
    <w:rsid w:val="493DCE3D"/>
    <w:rsid w:val="49615614"/>
    <w:rsid w:val="496FDB77"/>
    <w:rsid w:val="4993018F"/>
    <w:rsid w:val="49BAFF86"/>
    <w:rsid w:val="49D9B097"/>
    <w:rsid w:val="49DB8CCE"/>
    <w:rsid w:val="49E0E1EB"/>
    <w:rsid w:val="49E3AE48"/>
    <w:rsid w:val="49FBCBED"/>
    <w:rsid w:val="4A0430F4"/>
    <w:rsid w:val="4A08566F"/>
    <w:rsid w:val="4A1206E1"/>
    <w:rsid w:val="4A30FF26"/>
    <w:rsid w:val="4A7253AF"/>
    <w:rsid w:val="4A885FD2"/>
    <w:rsid w:val="4A9DCD89"/>
    <w:rsid w:val="4AA65962"/>
    <w:rsid w:val="4ABA0901"/>
    <w:rsid w:val="4ADC5BAB"/>
    <w:rsid w:val="4AE1F2B1"/>
    <w:rsid w:val="4B11C846"/>
    <w:rsid w:val="4B531B5A"/>
    <w:rsid w:val="4B71BD73"/>
    <w:rsid w:val="4B8EF31E"/>
    <w:rsid w:val="4BC44662"/>
    <w:rsid w:val="4BE568FF"/>
    <w:rsid w:val="4C1BF157"/>
    <w:rsid w:val="4C334973"/>
    <w:rsid w:val="4C5EFC57"/>
    <w:rsid w:val="4C5F6FB6"/>
    <w:rsid w:val="4C8474A6"/>
    <w:rsid w:val="4CB62E59"/>
    <w:rsid w:val="4CBF0AF2"/>
    <w:rsid w:val="4CDDC8F9"/>
    <w:rsid w:val="4CE10DD0"/>
    <w:rsid w:val="4D1030FD"/>
    <w:rsid w:val="4D103AF9"/>
    <w:rsid w:val="4D3CAA94"/>
    <w:rsid w:val="4D59B303"/>
    <w:rsid w:val="4D7F5316"/>
    <w:rsid w:val="4DC2B420"/>
    <w:rsid w:val="4DD198FD"/>
    <w:rsid w:val="4DD3D8B6"/>
    <w:rsid w:val="4DEA0559"/>
    <w:rsid w:val="4DEDFC24"/>
    <w:rsid w:val="4E1C5691"/>
    <w:rsid w:val="4E1F8803"/>
    <w:rsid w:val="4E201FF1"/>
    <w:rsid w:val="4E2C1653"/>
    <w:rsid w:val="4E39F6DD"/>
    <w:rsid w:val="4E3F7850"/>
    <w:rsid w:val="4E4F85AB"/>
    <w:rsid w:val="4E6E4A23"/>
    <w:rsid w:val="4E8B8EA3"/>
    <w:rsid w:val="4EC1C623"/>
    <w:rsid w:val="4ED5CD47"/>
    <w:rsid w:val="4EFA3115"/>
    <w:rsid w:val="4F2CB766"/>
    <w:rsid w:val="4F734C38"/>
    <w:rsid w:val="4F899C35"/>
    <w:rsid w:val="4F975AF5"/>
    <w:rsid w:val="4FA12053"/>
    <w:rsid w:val="4FD26737"/>
    <w:rsid w:val="4FEE333E"/>
    <w:rsid w:val="4FF1C4C2"/>
    <w:rsid w:val="4FF74D74"/>
    <w:rsid w:val="5036AA1E"/>
    <w:rsid w:val="50430A16"/>
    <w:rsid w:val="50B4FFB1"/>
    <w:rsid w:val="50D5579F"/>
    <w:rsid w:val="50D8B3F6"/>
    <w:rsid w:val="50FF60D2"/>
    <w:rsid w:val="51225B45"/>
    <w:rsid w:val="51602A80"/>
    <w:rsid w:val="519A4EA7"/>
    <w:rsid w:val="51AB90C0"/>
    <w:rsid w:val="51B06AC5"/>
    <w:rsid w:val="51D05495"/>
    <w:rsid w:val="51F5DAAD"/>
    <w:rsid w:val="5238C5A1"/>
    <w:rsid w:val="5245DF1E"/>
    <w:rsid w:val="525CC2B7"/>
    <w:rsid w:val="52B3F706"/>
    <w:rsid w:val="52D82248"/>
    <w:rsid w:val="534015D3"/>
    <w:rsid w:val="5363D39D"/>
    <w:rsid w:val="538708F3"/>
    <w:rsid w:val="53A85970"/>
    <w:rsid w:val="53B636D2"/>
    <w:rsid w:val="53D68A9B"/>
    <w:rsid w:val="53DEA4FD"/>
    <w:rsid w:val="53DEBD8E"/>
    <w:rsid w:val="53E74139"/>
    <w:rsid w:val="53F1ABB1"/>
    <w:rsid w:val="53F4C5EA"/>
    <w:rsid w:val="542910DC"/>
    <w:rsid w:val="544B143F"/>
    <w:rsid w:val="549423F9"/>
    <w:rsid w:val="54A35614"/>
    <w:rsid w:val="54A620A4"/>
    <w:rsid w:val="54ADA8D9"/>
    <w:rsid w:val="54AE5E06"/>
    <w:rsid w:val="54FA96F3"/>
    <w:rsid w:val="552C6341"/>
    <w:rsid w:val="55478237"/>
    <w:rsid w:val="5561FFCC"/>
    <w:rsid w:val="5569A16F"/>
    <w:rsid w:val="5571EE28"/>
    <w:rsid w:val="55CBCFB3"/>
    <w:rsid w:val="56C49529"/>
    <w:rsid w:val="56FC2F38"/>
    <w:rsid w:val="56FEE478"/>
    <w:rsid w:val="57023DB3"/>
    <w:rsid w:val="57100D88"/>
    <w:rsid w:val="5714B4AC"/>
    <w:rsid w:val="5722EC9E"/>
    <w:rsid w:val="5723FA65"/>
    <w:rsid w:val="574393FF"/>
    <w:rsid w:val="574477B6"/>
    <w:rsid w:val="5770D669"/>
    <w:rsid w:val="57870D5B"/>
    <w:rsid w:val="57B5A2AF"/>
    <w:rsid w:val="57CBC919"/>
    <w:rsid w:val="57F12DC3"/>
    <w:rsid w:val="58010882"/>
    <w:rsid w:val="582154ED"/>
    <w:rsid w:val="58400C0E"/>
    <w:rsid w:val="58619FB1"/>
    <w:rsid w:val="587AE4CF"/>
    <w:rsid w:val="58D045EF"/>
    <w:rsid w:val="58D4F954"/>
    <w:rsid w:val="5924302C"/>
    <w:rsid w:val="5925A3A7"/>
    <w:rsid w:val="5929986C"/>
    <w:rsid w:val="592AE9E4"/>
    <w:rsid w:val="5953BE06"/>
    <w:rsid w:val="5958CEF9"/>
    <w:rsid w:val="596605CC"/>
    <w:rsid w:val="599401BF"/>
    <w:rsid w:val="59B03904"/>
    <w:rsid w:val="59B33B4F"/>
    <w:rsid w:val="5A1D1A1D"/>
    <w:rsid w:val="5A20FBB3"/>
    <w:rsid w:val="5A7D2FD2"/>
    <w:rsid w:val="5A879692"/>
    <w:rsid w:val="5A8D0A48"/>
    <w:rsid w:val="5A927E1E"/>
    <w:rsid w:val="5A94E5C2"/>
    <w:rsid w:val="5A98E6BD"/>
    <w:rsid w:val="5AA6C876"/>
    <w:rsid w:val="5ACC9FC4"/>
    <w:rsid w:val="5B200548"/>
    <w:rsid w:val="5B3DB87D"/>
    <w:rsid w:val="5B6E5994"/>
    <w:rsid w:val="5B77E766"/>
    <w:rsid w:val="5B7F3B6D"/>
    <w:rsid w:val="5BA0ACF5"/>
    <w:rsid w:val="5BE43F2D"/>
    <w:rsid w:val="5C06538E"/>
    <w:rsid w:val="5C1F5B19"/>
    <w:rsid w:val="5C6D90D2"/>
    <w:rsid w:val="5CAE5472"/>
    <w:rsid w:val="5CD1D905"/>
    <w:rsid w:val="5CF71A11"/>
    <w:rsid w:val="5D0E0432"/>
    <w:rsid w:val="5D13BF09"/>
    <w:rsid w:val="5D3250AB"/>
    <w:rsid w:val="5D32D9CD"/>
    <w:rsid w:val="5D43F7E2"/>
    <w:rsid w:val="5D628A23"/>
    <w:rsid w:val="5D8246CC"/>
    <w:rsid w:val="5D9C9650"/>
    <w:rsid w:val="5DAF2CB3"/>
    <w:rsid w:val="5DD2A39C"/>
    <w:rsid w:val="5E1ADAA0"/>
    <w:rsid w:val="5E213840"/>
    <w:rsid w:val="5E24FFCC"/>
    <w:rsid w:val="5E28C94E"/>
    <w:rsid w:val="5E39DAFE"/>
    <w:rsid w:val="5E6C8FAD"/>
    <w:rsid w:val="5E89AFD5"/>
    <w:rsid w:val="5E9C37A9"/>
    <w:rsid w:val="5EA34BBB"/>
    <w:rsid w:val="5EA3BE61"/>
    <w:rsid w:val="5ED1B8D2"/>
    <w:rsid w:val="5ED962C3"/>
    <w:rsid w:val="5F2CA152"/>
    <w:rsid w:val="5F7E8DEA"/>
    <w:rsid w:val="5FA4BFC0"/>
    <w:rsid w:val="5FB2827B"/>
    <w:rsid w:val="5FB64942"/>
    <w:rsid w:val="5FC0F020"/>
    <w:rsid w:val="5FD2A857"/>
    <w:rsid w:val="5FDEF50B"/>
    <w:rsid w:val="60093E2F"/>
    <w:rsid w:val="6011F77A"/>
    <w:rsid w:val="601F94CA"/>
    <w:rsid w:val="603C52AC"/>
    <w:rsid w:val="603FD993"/>
    <w:rsid w:val="6074092A"/>
    <w:rsid w:val="607881D4"/>
    <w:rsid w:val="607910F9"/>
    <w:rsid w:val="6083C71A"/>
    <w:rsid w:val="60873E7A"/>
    <w:rsid w:val="60956A3C"/>
    <w:rsid w:val="60962ED8"/>
    <w:rsid w:val="60CB6E91"/>
    <w:rsid w:val="60D34443"/>
    <w:rsid w:val="60F48D53"/>
    <w:rsid w:val="60FC7897"/>
    <w:rsid w:val="61034971"/>
    <w:rsid w:val="610925A4"/>
    <w:rsid w:val="6116C494"/>
    <w:rsid w:val="613DAF64"/>
    <w:rsid w:val="61405BE0"/>
    <w:rsid w:val="61741E96"/>
    <w:rsid w:val="618D7EB7"/>
    <w:rsid w:val="618F4B9B"/>
    <w:rsid w:val="61AE2743"/>
    <w:rsid w:val="61AF4C58"/>
    <w:rsid w:val="61F0EE4D"/>
    <w:rsid w:val="620B2957"/>
    <w:rsid w:val="62301C29"/>
    <w:rsid w:val="623B0A25"/>
    <w:rsid w:val="6265E593"/>
    <w:rsid w:val="626F0CBD"/>
    <w:rsid w:val="627EF4F2"/>
    <w:rsid w:val="62B421D9"/>
    <w:rsid w:val="62B641F3"/>
    <w:rsid w:val="62D443F7"/>
    <w:rsid w:val="630AFAA3"/>
    <w:rsid w:val="63125718"/>
    <w:rsid w:val="63466A38"/>
    <w:rsid w:val="63481D6B"/>
    <w:rsid w:val="637027D7"/>
    <w:rsid w:val="639CC77A"/>
    <w:rsid w:val="63A4ECDE"/>
    <w:rsid w:val="63CE768D"/>
    <w:rsid w:val="6406DF7C"/>
    <w:rsid w:val="6430CDA2"/>
    <w:rsid w:val="646C444D"/>
    <w:rsid w:val="6482203C"/>
    <w:rsid w:val="64873BA9"/>
    <w:rsid w:val="649049A0"/>
    <w:rsid w:val="64B00DD8"/>
    <w:rsid w:val="64CFD66B"/>
    <w:rsid w:val="64D6A352"/>
    <w:rsid w:val="653CD649"/>
    <w:rsid w:val="6542A100"/>
    <w:rsid w:val="656507B6"/>
    <w:rsid w:val="6583C7F4"/>
    <w:rsid w:val="65948BCF"/>
    <w:rsid w:val="65E512D5"/>
    <w:rsid w:val="65F466DA"/>
    <w:rsid w:val="66029E82"/>
    <w:rsid w:val="6637754E"/>
    <w:rsid w:val="66390AC8"/>
    <w:rsid w:val="66787FE8"/>
    <w:rsid w:val="6691842C"/>
    <w:rsid w:val="669EEE3A"/>
    <w:rsid w:val="66A2B990"/>
    <w:rsid w:val="66B6FBE4"/>
    <w:rsid w:val="66C0BD4A"/>
    <w:rsid w:val="66F7ACB6"/>
    <w:rsid w:val="671D6A19"/>
    <w:rsid w:val="6798A99E"/>
    <w:rsid w:val="67B37F2D"/>
    <w:rsid w:val="67E62351"/>
    <w:rsid w:val="68127E27"/>
    <w:rsid w:val="68402A8F"/>
    <w:rsid w:val="684512D6"/>
    <w:rsid w:val="6855B792"/>
    <w:rsid w:val="686DA4E4"/>
    <w:rsid w:val="68769947"/>
    <w:rsid w:val="68A11EF7"/>
    <w:rsid w:val="68A9F374"/>
    <w:rsid w:val="68CFBB57"/>
    <w:rsid w:val="68DCB8CF"/>
    <w:rsid w:val="68E2F57C"/>
    <w:rsid w:val="6936D2E5"/>
    <w:rsid w:val="69498A7A"/>
    <w:rsid w:val="69834528"/>
    <w:rsid w:val="698EC253"/>
    <w:rsid w:val="698ED0D2"/>
    <w:rsid w:val="69B56F67"/>
    <w:rsid w:val="69D331E3"/>
    <w:rsid w:val="69D4BCDB"/>
    <w:rsid w:val="69F600F1"/>
    <w:rsid w:val="6A26229C"/>
    <w:rsid w:val="6A358CF5"/>
    <w:rsid w:val="6A43A88F"/>
    <w:rsid w:val="6A60671C"/>
    <w:rsid w:val="6AB1FCBC"/>
    <w:rsid w:val="6AB857BB"/>
    <w:rsid w:val="6AC1B22C"/>
    <w:rsid w:val="6ADE8900"/>
    <w:rsid w:val="6AE95BAA"/>
    <w:rsid w:val="6AE96DD2"/>
    <w:rsid w:val="6AEAE4A8"/>
    <w:rsid w:val="6B09F8D4"/>
    <w:rsid w:val="6B72E1FD"/>
    <w:rsid w:val="6B99C613"/>
    <w:rsid w:val="6BA07179"/>
    <w:rsid w:val="6BB4A3F3"/>
    <w:rsid w:val="6BF590A9"/>
    <w:rsid w:val="6C13A4F0"/>
    <w:rsid w:val="6C592AFB"/>
    <w:rsid w:val="6C6FEE16"/>
    <w:rsid w:val="6C7149BD"/>
    <w:rsid w:val="6C7F8AA1"/>
    <w:rsid w:val="6CC8325F"/>
    <w:rsid w:val="6CCBF890"/>
    <w:rsid w:val="6D0BBFD6"/>
    <w:rsid w:val="6D29E869"/>
    <w:rsid w:val="6D3C339E"/>
    <w:rsid w:val="6D3F56A1"/>
    <w:rsid w:val="6D51BD23"/>
    <w:rsid w:val="6D6B73BC"/>
    <w:rsid w:val="6D736B0C"/>
    <w:rsid w:val="6D94FC47"/>
    <w:rsid w:val="6DDC3D76"/>
    <w:rsid w:val="6E15AD41"/>
    <w:rsid w:val="6E4DDF0C"/>
    <w:rsid w:val="6E68D3B1"/>
    <w:rsid w:val="6E768DB7"/>
    <w:rsid w:val="6E7AB37C"/>
    <w:rsid w:val="6EC7AEA4"/>
    <w:rsid w:val="6ED5B080"/>
    <w:rsid w:val="6F05E477"/>
    <w:rsid w:val="6F556F34"/>
    <w:rsid w:val="6F6BFCB3"/>
    <w:rsid w:val="6F78F5A5"/>
    <w:rsid w:val="6F7D5C75"/>
    <w:rsid w:val="6F80B409"/>
    <w:rsid w:val="6F8317A9"/>
    <w:rsid w:val="6F9425EB"/>
    <w:rsid w:val="6FA7D97D"/>
    <w:rsid w:val="6FEA17B8"/>
    <w:rsid w:val="701EE48E"/>
    <w:rsid w:val="70239441"/>
    <w:rsid w:val="70260FD6"/>
    <w:rsid w:val="7082431C"/>
    <w:rsid w:val="7083C01B"/>
    <w:rsid w:val="709D85E3"/>
    <w:rsid w:val="70B12324"/>
    <w:rsid w:val="70B4C80E"/>
    <w:rsid w:val="7108C091"/>
    <w:rsid w:val="710D348D"/>
    <w:rsid w:val="713E9168"/>
    <w:rsid w:val="7143F79B"/>
    <w:rsid w:val="715999C2"/>
    <w:rsid w:val="717C2AD6"/>
    <w:rsid w:val="718F2167"/>
    <w:rsid w:val="71938E24"/>
    <w:rsid w:val="7194F917"/>
    <w:rsid w:val="71AE6E56"/>
    <w:rsid w:val="721001EB"/>
    <w:rsid w:val="722EAAB0"/>
    <w:rsid w:val="726FD465"/>
    <w:rsid w:val="72B4F74E"/>
    <w:rsid w:val="72C3BA13"/>
    <w:rsid w:val="72FA8BEF"/>
    <w:rsid w:val="72FB6239"/>
    <w:rsid w:val="72FEF3F4"/>
    <w:rsid w:val="7301583F"/>
    <w:rsid w:val="730C504B"/>
    <w:rsid w:val="73171FEA"/>
    <w:rsid w:val="732F5E12"/>
    <w:rsid w:val="734A46A8"/>
    <w:rsid w:val="736240E1"/>
    <w:rsid w:val="736ABFEB"/>
    <w:rsid w:val="738AE6D0"/>
    <w:rsid w:val="73C0BDA7"/>
    <w:rsid w:val="73E5BDF7"/>
    <w:rsid w:val="73F05EAC"/>
    <w:rsid w:val="74009144"/>
    <w:rsid w:val="7411A932"/>
    <w:rsid w:val="74134797"/>
    <w:rsid w:val="742C8D6E"/>
    <w:rsid w:val="743F7A01"/>
    <w:rsid w:val="7441C2C2"/>
    <w:rsid w:val="7467EAB4"/>
    <w:rsid w:val="7481427F"/>
    <w:rsid w:val="74C98D45"/>
    <w:rsid w:val="74E4E116"/>
    <w:rsid w:val="74EEC520"/>
    <w:rsid w:val="74FD0E39"/>
    <w:rsid w:val="752C27A0"/>
    <w:rsid w:val="75595F2B"/>
    <w:rsid w:val="7562D645"/>
    <w:rsid w:val="7580423B"/>
    <w:rsid w:val="7584A12B"/>
    <w:rsid w:val="758BCB05"/>
    <w:rsid w:val="75AFB077"/>
    <w:rsid w:val="75AFC8C7"/>
    <w:rsid w:val="75C37B89"/>
    <w:rsid w:val="75D05A77"/>
    <w:rsid w:val="75F38463"/>
    <w:rsid w:val="75F8DBB7"/>
    <w:rsid w:val="760A6CFE"/>
    <w:rsid w:val="761DA904"/>
    <w:rsid w:val="764DEF4B"/>
    <w:rsid w:val="7650B355"/>
    <w:rsid w:val="766FBF6F"/>
    <w:rsid w:val="768174E2"/>
    <w:rsid w:val="768777CF"/>
    <w:rsid w:val="76908A3F"/>
    <w:rsid w:val="76A14E7D"/>
    <w:rsid w:val="76BB71F8"/>
    <w:rsid w:val="76C1EB23"/>
    <w:rsid w:val="76E61840"/>
    <w:rsid w:val="76E6E14A"/>
    <w:rsid w:val="76EC8B97"/>
    <w:rsid w:val="7708D09C"/>
    <w:rsid w:val="773BF603"/>
    <w:rsid w:val="774E1A59"/>
    <w:rsid w:val="777021D0"/>
    <w:rsid w:val="7771456B"/>
    <w:rsid w:val="77791E75"/>
    <w:rsid w:val="77A72CEB"/>
    <w:rsid w:val="77B386CC"/>
    <w:rsid w:val="77B6FD1E"/>
    <w:rsid w:val="77BD1D42"/>
    <w:rsid w:val="77CA7311"/>
    <w:rsid w:val="77CFF233"/>
    <w:rsid w:val="77D5B769"/>
    <w:rsid w:val="77DB3E36"/>
    <w:rsid w:val="77DD5006"/>
    <w:rsid w:val="77E139B3"/>
    <w:rsid w:val="77F98C9A"/>
    <w:rsid w:val="7804B85D"/>
    <w:rsid w:val="7826886C"/>
    <w:rsid w:val="7841CD3A"/>
    <w:rsid w:val="786C280B"/>
    <w:rsid w:val="788EE3F3"/>
    <w:rsid w:val="788F21EC"/>
    <w:rsid w:val="78DA2032"/>
    <w:rsid w:val="78DBE840"/>
    <w:rsid w:val="78E4B86E"/>
    <w:rsid w:val="7970B964"/>
    <w:rsid w:val="7980B9F1"/>
    <w:rsid w:val="799024E6"/>
    <w:rsid w:val="79AAA8F7"/>
    <w:rsid w:val="79B117A4"/>
    <w:rsid w:val="79FB2166"/>
    <w:rsid w:val="7A33097A"/>
    <w:rsid w:val="7A667E57"/>
    <w:rsid w:val="7A849606"/>
    <w:rsid w:val="7A9AAB1D"/>
    <w:rsid w:val="7AC23D56"/>
    <w:rsid w:val="7AC93057"/>
    <w:rsid w:val="7AE80333"/>
    <w:rsid w:val="7AFB3C81"/>
    <w:rsid w:val="7AFBBB40"/>
    <w:rsid w:val="7B237D9A"/>
    <w:rsid w:val="7B4CBDAC"/>
    <w:rsid w:val="7B969785"/>
    <w:rsid w:val="7BC88D63"/>
    <w:rsid w:val="7BE6C2FC"/>
    <w:rsid w:val="7C364B2A"/>
    <w:rsid w:val="7C3D44C8"/>
    <w:rsid w:val="7C4E3E1C"/>
    <w:rsid w:val="7C6CB139"/>
    <w:rsid w:val="7C92ED80"/>
    <w:rsid w:val="7C953420"/>
    <w:rsid w:val="7C9A9D3A"/>
    <w:rsid w:val="7C9C5709"/>
    <w:rsid w:val="7CA00B4F"/>
    <w:rsid w:val="7CE39B04"/>
    <w:rsid w:val="7CE9B5EF"/>
    <w:rsid w:val="7CFAB623"/>
    <w:rsid w:val="7D1DBE70"/>
    <w:rsid w:val="7D85DD04"/>
    <w:rsid w:val="7D915C18"/>
    <w:rsid w:val="7D9DB33D"/>
    <w:rsid w:val="7DB2ECCD"/>
    <w:rsid w:val="7DBDE7A5"/>
    <w:rsid w:val="7DC3309E"/>
    <w:rsid w:val="7E07D288"/>
    <w:rsid w:val="7E1D65AA"/>
    <w:rsid w:val="7E3E388C"/>
    <w:rsid w:val="7E4FEB3B"/>
    <w:rsid w:val="7E5D4DCC"/>
    <w:rsid w:val="7E98C896"/>
    <w:rsid w:val="7EA94DF4"/>
    <w:rsid w:val="7EB80623"/>
    <w:rsid w:val="7EBD4182"/>
    <w:rsid w:val="7EEE0804"/>
    <w:rsid w:val="7EF79A83"/>
    <w:rsid w:val="7EFB7348"/>
    <w:rsid w:val="7F2FC033"/>
    <w:rsid w:val="7F492666"/>
    <w:rsid w:val="7F4F1A4B"/>
    <w:rsid w:val="7F5CA905"/>
    <w:rsid w:val="7F841206"/>
    <w:rsid w:val="7F953656"/>
    <w:rsid w:val="7FA1C090"/>
    <w:rsid w:val="7FF25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8A75"/>
  <w15:chartTrackingRefBased/>
  <w15:docId w15:val="{2451A6EC-3248-4522-BA8A-B1726EF7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0BC"/>
    <w:pPr>
      <w:keepNext/>
      <w:keepLines/>
      <w:pBdr>
        <w:bottom w:val="single" w:sz="4" w:space="1" w:color="auto"/>
      </w:pBd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0BC"/>
    <w:pPr>
      <w:keepNext/>
      <w:keepLines/>
      <w:spacing w:before="4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4647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46476"/>
  </w:style>
  <w:style w:type="character" w:customStyle="1" w:styleId="eop">
    <w:name w:val="eop"/>
    <w:basedOn w:val="DefaultParagraphFont"/>
    <w:rsid w:val="00646476"/>
  </w:style>
  <w:style w:type="character" w:customStyle="1" w:styleId="spellingerror">
    <w:name w:val="spellingerror"/>
    <w:basedOn w:val="DefaultParagraphFont"/>
    <w:rsid w:val="00646476"/>
  </w:style>
  <w:style w:type="character" w:styleId="CommentReference">
    <w:name w:val="annotation reference"/>
    <w:basedOn w:val="DefaultParagraphFont"/>
    <w:uiPriority w:val="99"/>
    <w:semiHidden/>
    <w:unhideWhenUsed/>
    <w:rsid w:val="00B841B9"/>
    <w:rPr>
      <w:sz w:val="18"/>
      <w:szCs w:val="18"/>
    </w:rPr>
  </w:style>
  <w:style w:type="paragraph" w:styleId="CommentText">
    <w:name w:val="annotation text"/>
    <w:basedOn w:val="Normal"/>
    <w:link w:val="CommentTextChar"/>
    <w:uiPriority w:val="99"/>
    <w:semiHidden/>
    <w:unhideWhenUsed/>
    <w:rsid w:val="00B841B9"/>
    <w:rPr>
      <w:sz w:val="24"/>
      <w:szCs w:val="24"/>
    </w:rPr>
  </w:style>
  <w:style w:type="character" w:customStyle="1" w:styleId="CommentTextChar">
    <w:name w:val="Comment Text Char"/>
    <w:basedOn w:val="DefaultParagraphFont"/>
    <w:link w:val="CommentText"/>
    <w:uiPriority w:val="99"/>
    <w:semiHidden/>
    <w:rsid w:val="00B841B9"/>
    <w:rPr>
      <w:sz w:val="24"/>
      <w:szCs w:val="24"/>
    </w:rPr>
  </w:style>
  <w:style w:type="paragraph" w:styleId="CommentSubject">
    <w:name w:val="annotation subject"/>
    <w:basedOn w:val="CommentText"/>
    <w:next w:val="CommentText"/>
    <w:link w:val="CommentSubjectChar"/>
    <w:uiPriority w:val="99"/>
    <w:semiHidden/>
    <w:unhideWhenUsed/>
    <w:rsid w:val="00B841B9"/>
    <w:rPr>
      <w:b/>
      <w:bCs/>
      <w:sz w:val="20"/>
      <w:szCs w:val="20"/>
    </w:rPr>
  </w:style>
  <w:style w:type="character" w:customStyle="1" w:styleId="CommentSubjectChar">
    <w:name w:val="Comment Subject Char"/>
    <w:basedOn w:val="CommentTextChar"/>
    <w:link w:val="CommentSubject"/>
    <w:uiPriority w:val="99"/>
    <w:semiHidden/>
    <w:rsid w:val="00B841B9"/>
    <w:rPr>
      <w:b/>
      <w:bCs/>
      <w:sz w:val="20"/>
      <w:szCs w:val="20"/>
    </w:rPr>
  </w:style>
  <w:style w:type="paragraph" w:styleId="BalloonText">
    <w:name w:val="Balloon Text"/>
    <w:basedOn w:val="Normal"/>
    <w:link w:val="BalloonTextChar"/>
    <w:uiPriority w:val="99"/>
    <w:semiHidden/>
    <w:unhideWhenUsed/>
    <w:rsid w:val="00B841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1B9"/>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6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60BC"/>
    <w:rPr>
      <w:rFonts w:asciiTheme="majorHAnsi" w:eastAsiaTheme="majorEastAsia" w:hAnsiTheme="majorHAnsi" w:cstheme="majorBidi"/>
      <w:b/>
      <w:color w:val="000000" w:themeColor="text1"/>
      <w:szCs w:val="26"/>
    </w:rPr>
  </w:style>
  <w:style w:type="table" w:styleId="TableGrid">
    <w:name w:val="Table Grid"/>
    <w:basedOn w:val="TableNormal"/>
    <w:uiPriority w:val="39"/>
    <w:rsid w:val="0080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5837"/>
  </w:style>
  <w:style w:type="paragraph" w:styleId="Caption">
    <w:name w:val="caption"/>
    <w:basedOn w:val="Normal"/>
    <w:next w:val="Normal"/>
    <w:uiPriority w:val="35"/>
    <w:unhideWhenUsed/>
    <w:qFormat/>
    <w:rsid w:val="005A554B"/>
    <w:pPr>
      <w:spacing w:after="200"/>
    </w:pPr>
    <w:rPr>
      <w:i/>
      <w:iCs/>
      <w:color w:val="44546A" w:themeColor="text2"/>
      <w:sz w:val="18"/>
      <w:szCs w:val="18"/>
    </w:rPr>
  </w:style>
  <w:style w:type="paragraph" w:styleId="ListParagraph">
    <w:name w:val="List Paragraph"/>
    <w:basedOn w:val="Normal"/>
    <w:uiPriority w:val="34"/>
    <w:qFormat/>
    <w:rsid w:val="007F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950">
      <w:bodyDiv w:val="1"/>
      <w:marLeft w:val="0"/>
      <w:marRight w:val="0"/>
      <w:marTop w:val="0"/>
      <w:marBottom w:val="0"/>
      <w:divBdr>
        <w:top w:val="none" w:sz="0" w:space="0" w:color="auto"/>
        <w:left w:val="none" w:sz="0" w:space="0" w:color="auto"/>
        <w:bottom w:val="none" w:sz="0" w:space="0" w:color="auto"/>
        <w:right w:val="none" w:sz="0" w:space="0" w:color="auto"/>
      </w:divBdr>
      <w:divsChild>
        <w:div w:id="113406341">
          <w:marLeft w:val="0"/>
          <w:marRight w:val="0"/>
          <w:marTop w:val="0"/>
          <w:marBottom w:val="0"/>
          <w:divBdr>
            <w:top w:val="none" w:sz="0" w:space="0" w:color="auto"/>
            <w:left w:val="none" w:sz="0" w:space="0" w:color="auto"/>
            <w:bottom w:val="none" w:sz="0" w:space="0" w:color="auto"/>
            <w:right w:val="none" w:sz="0" w:space="0" w:color="auto"/>
          </w:divBdr>
        </w:div>
        <w:div w:id="166411918">
          <w:marLeft w:val="0"/>
          <w:marRight w:val="0"/>
          <w:marTop w:val="0"/>
          <w:marBottom w:val="0"/>
          <w:divBdr>
            <w:top w:val="none" w:sz="0" w:space="0" w:color="auto"/>
            <w:left w:val="none" w:sz="0" w:space="0" w:color="auto"/>
            <w:bottom w:val="none" w:sz="0" w:space="0" w:color="auto"/>
            <w:right w:val="none" w:sz="0" w:space="0" w:color="auto"/>
          </w:divBdr>
        </w:div>
        <w:div w:id="184100280">
          <w:marLeft w:val="0"/>
          <w:marRight w:val="0"/>
          <w:marTop w:val="0"/>
          <w:marBottom w:val="0"/>
          <w:divBdr>
            <w:top w:val="none" w:sz="0" w:space="0" w:color="auto"/>
            <w:left w:val="none" w:sz="0" w:space="0" w:color="auto"/>
            <w:bottom w:val="none" w:sz="0" w:space="0" w:color="auto"/>
            <w:right w:val="none" w:sz="0" w:space="0" w:color="auto"/>
          </w:divBdr>
        </w:div>
        <w:div w:id="240719955">
          <w:marLeft w:val="0"/>
          <w:marRight w:val="0"/>
          <w:marTop w:val="0"/>
          <w:marBottom w:val="0"/>
          <w:divBdr>
            <w:top w:val="none" w:sz="0" w:space="0" w:color="auto"/>
            <w:left w:val="none" w:sz="0" w:space="0" w:color="auto"/>
            <w:bottom w:val="none" w:sz="0" w:space="0" w:color="auto"/>
            <w:right w:val="none" w:sz="0" w:space="0" w:color="auto"/>
          </w:divBdr>
        </w:div>
        <w:div w:id="364527999">
          <w:marLeft w:val="0"/>
          <w:marRight w:val="0"/>
          <w:marTop w:val="0"/>
          <w:marBottom w:val="0"/>
          <w:divBdr>
            <w:top w:val="none" w:sz="0" w:space="0" w:color="auto"/>
            <w:left w:val="none" w:sz="0" w:space="0" w:color="auto"/>
            <w:bottom w:val="none" w:sz="0" w:space="0" w:color="auto"/>
            <w:right w:val="none" w:sz="0" w:space="0" w:color="auto"/>
          </w:divBdr>
        </w:div>
        <w:div w:id="456946031">
          <w:marLeft w:val="0"/>
          <w:marRight w:val="0"/>
          <w:marTop w:val="0"/>
          <w:marBottom w:val="0"/>
          <w:divBdr>
            <w:top w:val="none" w:sz="0" w:space="0" w:color="auto"/>
            <w:left w:val="none" w:sz="0" w:space="0" w:color="auto"/>
            <w:bottom w:val="none" w:sz="0" w:space="0" w:color="auto"/>
            <w:right w:val="none" w:sz="0" w:space="0" w:color="auto"/>
          </w:divBdr>
        </w:div>
        <w:div w:id="520314721">
          <w:marLeft w:val="0"/>
          <w:marRight w:val="0"/>
          <w:marTop w:val="0"/>
          <w:marBottom w:val="0"/>
          <w:divBdr>
            <w:top w:val="none" w:sz="0" w:space="0" w:color="auto"/>
            <w:left w:val="none" w:sz="0" w:space="0" w:color="auto"/>
            <w:bottom w:val="none" w:sz="0" w:space="0" w:color="auto"/>
            <w:right w:val="none" w:sz="0" w:space="0" w:color="auto"/>
          </w:divBdr>
          <w:divsChild>
            <w:div w:id="287782546">
              <w:marLeft w:val="-75"/>
              <w:marRight w:val="0"/>
              <w:marTop w:val="30"/>
              <w:marBottom w:val="30"/>
              <w:divBdr>
                <w:top w:val="none" w:sz="0" w:space="0" w:color="auto"/>
                <w:left w:val="none" w:sz="0" w:space="0" w:color="auto"/>
                <w:bottom w:val="none" w:sz="0" w:space="0" w:color="auto"/>
                <w:right w:val="none" w:sz="0" w:space="0" w:color="auto"/>
              </w:divBdr>
              <w:divsChild>
                <w:div w:id="42558320">
                  <w:marLeft w:val="0"/>
                  <w:marRight w:val="0"/>
                  <w:marTop w:val="0"/>
                  <w:marBottom w:val="0"/>
                  <w:divBdr>
                    <w:top w:val="none" w:sz="0" w:space="0" w:color="auto"/>
                    <w:left w:val="none" w:sz="0" w:space="0" w:color="auto"/>
                    <w:bottom w:val="none" w:sz="0" w:space="0" w:color="auto"/>
                    <w:right w:val="none" w:sz="0" w:space="0" w:color="auto"/>
                  </w:divBdr>
                  <w:divsChild>
                    <w:div w:id="1613198234">
                      <w:marLeft w:val="0"/>
                      <w:marRight w:val="0"/>
                      <w:marTop w:val="0"/>
                      <w:marBottom w:val="0"/>
                      <w:divBdr>
                        <w:top w:val="none" w:sz="0" w:space="0" w:color="auto"/>
                        <w:left w:val="none" w:sz="0" w:space="0" w:color="auto"/>
                        <w:bottom w:val="none" w:sz="0" w:space="0" w:color="auto"/>
                        <w:right w:val="none" w:sz="0" w:space="0" w:color="auto"/>
                      </w:divBdr>
                    </w:div>
                  </w:divsChild>
                </w:div>
                <w:div w:id="132405271">
                  <w:marLeft w:val="0"/>
                  <w:marRight w:val="0"/>
                  <w:marTop w:val="0"/>
                  <w:marBottom w:val="0"/>
                  <w:divBdr>
                    <w:top w:val="none" w:sz="0" w:space="0" w:color="auto"/>
                    <w:left w:val="none" w:sz="0" w:space="0" w:color="auto"/>
                    <w:bottom w:val="none" w:sz="0" w:space="0" w:color="auto"/>
                    <w:right w:val="none" w:sz="0" w:space="0" w:color="auto"/>
                  </w:divBdr>
                  <w:divsChild>
                    <w:div w:id="1867013013">
                      <w:marLeft w:val="0"/>
                      <w:marRight w:val="0"/>
                      <w:marTop w:val="0"/>
                      <w:marBottom w:val="0"/>
                      <w:divBdr>
                        <w:top w:val="none" w:sz="0" w:space="0" w:color="auto"/>
                        <w:left w:val="none" w:sz="0" w:space="0" w:color="auto"/>
                        <w:bottom w:val="none" w:sz="0" w:space="0" w:color="auto"/>
                        <w:right w:val="none" w:sz="0" w:space="0" w:color="auto"/>
                      </w:divBdr>
                    </w:div>
                  </w:divsChild>
                </w:div>
                <w:div w:id="189341932">
                  <w:marLeft w:val="0"/>
                  <w:marRight w:val="0"/>
                  <w:marTop w:val="0"/>
                  <w:marBottom w:val="0"/>
                  <w:divBdr>
                    <w:top w:val="none" w:sz="0" w:space="0" w:color="auto"/>
                    <w:left w:val="none" w:sz="0" w:space="0" w:color="auto"/>
                    <w:bottom w:val="none" w:sz="0" w:space="0" w:color="auto"/>
                    <w:right w:val="none" w:sz="0" w:space="0" w:color="auto"/>
                  </w:divBdr>
                  <w:divsChild>
                    <w:div w:id="1663653370">
                      <w:marLeft w:val="0"/>
                      <w:marRight w:val="0"/>
                      <w:marTop w:val="0"/>
                      <w:marBottom w:val="0"/>
                      <w:divBdr>
                        <w:top w:val="none" w:sz="0" w:space="0" w:color="auto"/>
                        <w:left w:val="none" w:sz="0" w:space="0" w:color="auto"/>
                        <w:bottom w:val="none" w:sz="0" w:space="0" w:color="auto"/>
                        <w:right w:val="none" w:sz="0" w:space="0" w:color="auto"/>
                      </w:divBdr>
                    </w:div>
                  </w:divsChild>
                </w:div>
                <w:div w:id="266353352">
                  <w:marLeft w:val="0"/>
                  <w:marRight w:val="0"/>
                  <w:marTop w:val="0"/>
                  <w:marBottom w:val="0"/>
                  <w:divBdr>
                    <w:top w:val="none" w:sz="0" w:space="0" w:color="auto"/>
                    <w:left w:val="none" w:sz="0" w:space="0" w:color="auto"/>
                    <w:bottom w:val="none" w:sz="0" w:space="0" w:color="auto"/>
                    <w:right w:val="none" w:sz="0" w:space="0" w:color="auto"/>
                  </w:divBdr>
                  <w:divsChild>
                    <w:div w:id="1063988394">
                      <w:marLeft w:val="0"/>
                      <w:marRight w:val="0"/>
                      <w:marTop w:val="0"/>
                      <w:marBottom w:val="0"/>
                      <w:divBdr>
                        <w:top w:val="none" w:sz="0" w:space="0" w:color="auto"/>
                        <w:left w:val="none" w:sz="0" w:space="0" w:color="auto"/>
                        <w:bottom w:val="none" w:sz="0" w:space="0" w:color="auto"/>
                        <w:right w:val="none" w:sz="0" w:space="0" w:color="auto"/>
                      </w:divBdr>
                    </w:div>
                  </w:divsChild>
                </w:div>
                <w:div w:id="280116243">
                  <w:marLeft w:val="0"/>
                  <w:marRight w:val="0"/>
                  <w:marTop w:val="0"/>
                  <w:marBottom w:val="0"/>
                  <w:divBdr>
                    <w:top w:val="none" w:sz="0" w:space="0" w:color="auto"/>
                    <w:left w:val="none" w:sz="0" w:space="0" w:color="auto"/>
                    <w:bottom w:val="none" w:sz="0" w:space="0" w:color="auto"/>
                    <w:right w:val="none" w:sz="0" w:space="0" w:color="auto"/>
                  </w:divBdr>
                  <w:divsChild>
                    <w:div w:id="737216359">
                      <w:marLeft w:val="0"/>
                      <w:marRight w:val="0"/>
                      <w:marTop w:val="0"/>
                      <w:marBottom w:val="0"/>
                      <w:divBdr>
                        <w:top w:val="none" w:sz="0" w:space="0" w:color="auto"/>
                        <w:left w:val="none" w:sz="0" w:space="0" w:color="auto"/>
                        <w:bottom w:val="none" w:sz="0" w:space="0" w:color="auto"/>
                        <w:right w:val="none" w:sz="0" w:space="0" w:color="auto"/>
                      </w:divBdr>
                    </w:div>
                  </w:divsChild>
                </w:div>
                <w:div w:id="293678891">
                  <w:marLeft w:val="0"/>
                  <w:marRight w:val="0"/>
                  <w:marTop w:val="0"/>
                  <w:marBottom w:val="0"/>
                  <w:divBdr>
                    <w:top w:val="none" w:sz="0" w:space="0" w:color="auto"/>
                    <w:left w:val="none" w:sz="0" w:space="0" w:color="auto"/>
                    <w:bottom w:val="none" w:sz="0" w:space="0" w:color="auto"/>
                    <w:right w:val="none" w:sz="0" w:space="0" w:color="auto"/>
                  </w:divBdr>
                  <w:divsChild>
                    <w:div w:id="231895649">
                      <w:marLeft w:val="0"/>
                      <w:marRight w:val="0"/>
                      <w:marTop w:val="0"/>
                      <w:marBottom w:val="0"/>
                      <w:divBdr>
                        <w:top w:val="none" w:sz="0" w:space="0" w:color="auto"/>
                        <w:left w:val="none" w:sz="0" w:space="0" w:color="auto"/>
                        <w:bottom w:val="none" w:sz="0" w:space="0" w:color="auto"/>
                        <w:right w:val="none" w:sz="0" w:space="0" w:color="auto"/>
                      </w:divBdr>
                    </w:div>
                  </w:divsChild>
                </w:div>
                <w:div w:id="300499360">
                  <w:marLeft w:val="0"/>
                  <w:marRight w:val="0"/>
                  <w:marTop w:val="0"/>
                  <w:marBottom w:val="0"/>
                  <w:divBdr>
                    <w:top w:val="none" w:sz="0" w:space="0" w:color="auto"/>
                    <w:left w:val="none" w:sz="0" w:space="0" w:color="auto"/>
                    <w:bottom w:val="none" w:sz="0" w:space="0" w:color="auto"/>
                    <w:right w:val="none" w:sz="0" w:space="0" w:color="auto"/>
                  </w:divBdr>
                  <w:divsChild>
                    <w:div w:id="16735793">
                      <w:marLeft w:val="0"/>
                      <w:marRight w:val="0"/>
                      <w:marTop w:val="0"/>
                      <w:marBottom w:val="0"/>
                      <w:divBdr>
                        <w:top w:val="none" w:sz="0" w:space="0" w:color="auto"/>
                        <w:left w:val="none" w:sz="0" w:space="0" w:color="auto"/>
                        <w:bottom w:val="none" w:sz="0" w:space="0" w:color="auto"/>
                        <w:right w:val="none" w:sz="0" w:space="0" w:color="auto"/>
                      </w:divBdr>
                    </w:div>
                  </w:divsChild>
                </w:div>
                <w:div w:id="307169103">
                  <w:marLeft w:val="0"/>
                  <w:marRight w:val="0"/>
                  <w:marTop w:val="0"/>
                  <w:marBottom w:val="0"/>
                  <w:divBdr>
                    <w:top w:val="none" w:sz="0" w:space="0" w:color="auto"/>
                    <w:left w:val="none" w:sz="0" w:space="0" w:color="auto"/>
                    <w:bottom w:val="none" w:sz="0" w:space="0" w:color="auto"/>
                    <w:right w:val="none" w:sz="0" w:space="0" w:color="auto"/>
                  </w:divBdr>
                  <w:divsChild>
                    <w:div w:id="805465436">
                      <w:marLeft w:val="0"/>
                      <w:marRight w:val="0"/>
                      <w:marTop w:val="0"/>
                      <w:marBottom w:val="0"/>
                      <w:divBdr>
                        <w:top w:val="none" w:sz="0" w:space="0" w:color="auto"/>
                        <w:left w:val="none" w:sz="0" w:space="0" w:color="auto"/>
                        <w:bottom w:val="none" w:sz="0" w:space="0" w:color="auto"/>
                        <w:right w:val="none" w:sz="0" w:space="0" w:color="auto"/>
                      </w:divBdr>
                    </w:div>
                  </w:divsChild>
                </w:div>
                <w:div w:id="395202615">
                  <w:marLeft w:val="0"/>
                  <w:marRight w:val="0"/>
                  <w:marTop w:val="0"/>
                  <w:marBottom w:val="0"/>
                  <w:divBdr>
                    <w:top w:val="none" w:sz="0" w:space="0" w:color="auto"/>
                    <w:left w:val="none" w:sz="0" w:space="0" w:color="auto"/>
                    <w:bottom w:val="none" w:sz="0" w:space="0" w:color="auto"/>
                    <w:right w:val="none" w:sz="0" w:space="0" w:color="auto"/>
                  </w:divBdr>
                  <w:divsChild>
                    <w:div w:id="67580695">
                      <w:marLeft w:val="0"/>
                      <w:marRight w:val="0"/>
                      <w:marTop w:val="0"/>
                      <w:marBottom w:val="0"/>
                      <w:divBdr>
                        <w:top w:val="none" w:sz="0" w:space="0" w:color="auto"/>
                        <w:left w:val="none" w:sz="0" w:space="0" w:color="auto"/>
                        <w:bottom w:val="none" w:sz="0" w:space="0" w:color="auto"/>
                        <w:right w:val="none" w:sz="0" w:space="0" w:color="auto"/>
                      </w:divBdr>
                    </w:div>
                  </w:divsChild>
                </w:div>
                <w:div w:id="407269109">
                  <w:marLeft w:val="0"/>
                  <w:marRight w:val="0"/>
                  <w:marTop w:val="0"/>
                  <w:marBottom w:val="0"/>
                  <w:divBdr>
                    <w:top w:val="none" w:sz="0" w:space="0" w:color="auto"/>
                    <w:left w:val="none" w:sz="0" w:space="0" w:color="auto"/>
                    <w:bottom w:val="none" w:sz="0" w:space="0" w:color="auto"/>
                    <w:right w:val="none" w:sz="0" w:space="0" w:color="auto"/>
                  </w:divBdr>
                  <w:divsChild>
                    <w:div w:id="1807893663">
                      <w:marLeft w:val="0"/>
                      <w:marRight w:val="0"/>
                      <w:marTop w:val="0"/>
                      <w:marBottom w:val="0"/>
                      <w:divBdr>
                        <w:top w:val="none" w:sz="0" w:space="0" w:color="auto"/>
                        <w:left w:val="none" w:sz="0" w:space="0" w:color="auto"/>
                        <w:bottom w:val="none" w:sz="0" w:space="0" w:color="auto"/>
                        <w:right w:val="none" w:sz="0" w:space="0" w:color="auto"/>
                      </w:divBdr>
                    </w:div>
                  </w:divsChild>
                </w:div>
                <w:div w:id="424807836">
                  <w:marLeft w:val="0"/>
                  <w:marRight w:val="0"/>
                  <w:marTop w:val="0"/>
                  <w:marBottom w:val="0"/>
                  <w:divBdr>
                    <w:top w:val="none" w:sz="0" w:space="0" w:color="auto"/>
                    <w:left w:val="none" w:sz="0" w:space="0" w:color="auto"/>
                    <w:bottom w:val="none" w:sz="0" w:space="0" w:color="auto"/>
                    <w:right w:val="none" w:sz="0" w:space="0" w:color="auto"/>
                  </w:divBdr>
                  <w:divsChild>
                    <w:div w:id="320550946">
                      <w:marLeft w:val="0"/>
                      <w:marRight w:val="0"/>
                      <w:marTop w:val="0"/>
                      <w:marBottom w:val="0"/>
                      <w:divBdr>
                        <w:top w:val="none" w:sz="0" w:space="0" w:color="auto"/>
                        <w:left w:val="none" w:sz="0" w:space="0" w:color="auto"/>
                        <w:bottom w:val="none" w:sz="0" w:space="0" w:color="auto"/>
                        <w:right w:val="none" w:sz="0" w:space="0" w:color="auto"/>
                      </w:divBdr>
                    </w:div>
                  </w:divsChild>
                </w:div>
                <w:div w:id="516038169">
                  <w:marLeft w:val="0"/>
                  <w:marRight w:val="0"/>
                  <w:marTop w:val="0"/>
                  <w:marBottom w:val="0"/>
                  <w:divBdr>
                    <w:top w:val="none" w:sz="0" w:space="0" w:color="auto"/>
                    <w:left w:val="none" w:sz="0" w:space="0" w:color="auto"/>
                    <w:bottom w:val="none" w:sz="0" w:space="0" w:color="auto"/>
                    <w:right w:val="none" w:sz="0" w:space="0" w:color="auto"/>
                  </w:divBdr>
                  <w:divsChild>
                    <w:div w:id="1206017665">
                      <w:marLeft w:val="0"/>
                      <w:marRight w:val="0"/>
                      <w:marTop w:val="0"/>
                      <w:marBottom w:val="0"/>
                      <w:divBdr>
                        <w:top w:val="none" w:sz="0" w:space="0" w:color="auto"/>
                        <w:left w:val="none" w:sz="0" w:space="0" w:color="auto"/>
                        <w:bottom w:val="none" w:sz="0" w:space="0" w:color="auto"/>
                        <w:right w:val="none" w:sz="0" w:space="0" w:color="auto"/>
                      </w:divBdr>
                    </w:div>
                  </w:divsChild>
                </w:div>
                <w:div w:id="619191650">
                  <w:marLeft w:val="0"/>
                  <w:marRight w:val="0"/>
                  <w:marTop w:val="0"/>
                  <w:marBottom w:val="0"/>
                  <w:divBdr>
                    <w:top w:val="none" w:sz="0" w:space="0" w:color="auto"/>
                    <w:left w:val="none" w:sz="0" w:space="0" w:color="auto"/>
                    <w:bottom w:val="none" w:sz="0" w:space="0" w:color="auto"/>
                    <w:right w:val="none" w:sz="0" w:space="0" w:color="auto"/>
                  </w:divBdr>
                  <w:divsChild>
                    <w:div w:id="697582774">
                      <w:marLeft w:val="0"/>
                      <w:marRight w:val="0"/>
                      <w:marTop w:val="0"/>
                      <w:marBottom w:val="0"/>
                      <w:divBdr>
                        <w:top w:val="none" w:sz="0" w:space="0" w:color="auto"/>
                        <w:left w:val="none" w:sz="0" w:space="0" w:color="auto"/>
                        <w:bottom w:val="none" w:sz="0" w:space="0" w:color="auto"/>
                        <w:right w:val="none" w:sz="0" w:space="0" w:color="auto"/>
                      </w:divBdr>
                    </w:div>
                  </w:divsChild>
                </w:div>
                <w:div w:id="760831534">
                  <w:marLeft w:val="0"/>
                  <w:marRight w:val="0"/>
                  <w:marTop w:val="0"/>
                  <w:marBottom w:val="0"/>
                  <w:divBdr>
                    <w:top w:val="none" w:sz="0" w:space="0" w:color="auto"/>
                    <w:left w:val="none" w:sz="0" w:space="0" w:color="auto"/>
                    <w:bottom w:val="none" w:sz="0" w:space="0" w:color="auto"/>
                    <w:right w:val="none" w:sz="0" w:space="0" w:color="auto"/>
                  </w:divBdr>
                  <w:divsChild>
                    <w:div w:id="1515807889">
                      <w:marLeft w:val="0"/>
                      <w:marRight w:val="0"/>
                      <w:marTop w:val="0"/>
                      <w:marBottom w:val="0"/>
                      <w:divBdr>
                        <w:top w:val="none" w:sz="0" w:space="0" w:color="auto"/>
                        <w:left w:val="none" w:sz="0" w:space="0" w:color="auto"/>
                        <w:bottom w:val="none" w:sz="0" w:space="0" w:color="auto"/>
                        <w:right w:val="none" w:sz="0" w:space="0" w:color="auto"/>
                      </w:divBdr>
                    </w:div>
                  </w:divsChild>
                </w:div>
                <w:div w:id="795561399">
                  <w:marLeft w:val="0"/>
                  <w:marRight w:val="0"/>
                  <w:marTop w:val="0"/>
                  <w:marBottom w:val="0"/>
                  <w:divBdr>
                    <w:top w:val="none" w:sz="0" w:space="0" w:color="auto"/>
                    <w:left w:val="none" w:sz="0" w:space="0" w:color="auto"/>
                    <w:bottom w:val="none" w:sz="0" w:space="0" w:color="auto"/>
                    <w:right w:val="none" w:sz="0" w:space="0" w:color="auto"/>
                  </w:divBdr>
                  <w:divsChild>
                    <w:div w:id="1927767232">
                      <w:marLeft w:val="0"/>
                      <w:marRight w:val="0"/>
                      <w:marTop w:val="0"/>
                      <w:marBottom w:val="0"/>
                      <w:divBdr>
                        <w:top w:val="none" w:sz="0" w:space="0" w:color="auto"/>
                        <w:left w:val="none" w:sz="0" w:space="0" w:color="auto"/>
                        <w:bottom w:val="none" w:sz="0" w:space="0" w:color="auto"/>
                        <w:right w:val="none" w:sz="0" w:space="0" w:color="auto"/>
                      </w:divBdr>
                    </w:div>
                  </w:divsChild>
                </w:div>
                <w:div w:id="1033725051">
                  <w:marLeft w:val="0"/>
                  <w:marRight w:val="0"/>
                  <w:marTop w:val="0"/>
                  <w:marBottom w:val="0"/>
                  <w:divBdr>
                    <w:top w:val="none" w:sz="0" w:space="0" w:color="auto"/>
                    <w:left w:val="none" w:sz="0" w:space="0" w:color="auto"/>
                    <w:bottom w:val="none" w:sz="0" w:space="0" w:color="auto"/>
                    <w:right w:val="none" w:sz="0" w:space="0" w:color="auto"/>
                  </w:divBdr>
                  <w:divsChild>
                    <w:div w:id="641346404">
                      <w:marLeft w:val="0"/>
                      <w:marRight w:val="0"/>
                      <w:marTop w:val="0"/>
                      <w:marBottom w:val="0"/>
                      <w:divBdr>
                        <w:top w:val="none" w:sz="0" w:space="0" w:color="auto"/>
                        <w:left w:val="none" w:sz="0" w:space="0" w:color="auto"/>
                        <w:bottom w:val="none" w:sz="0" w:space="0" w:color="auto"/>
                        <w:right w:val="none" w:sz="0" w:space="0" w:color="auto"/>
                      </w:divBdr>
                    </w:div>
                  </w:divsChild>
                </w:div>
                <w:div w:id="1068066953">
                  <w:marLeft w:val="0"/>
                  <w:marRight w:val="0"/>
                  <w:marTop w:val="0"/>
                  <w:marBottom w:val="0"/>
                  <w:divBdr>
                    <w:top w:val="none" w:sz="0" w:space="0" w:color="auto"/>
                    <w:left w:val="none" w:sz="0" w:space="0" w:color="auto"/>
                    <w:bottom w:val="none" w:sz="0" w:space="0" w:color="auto"/>
                    <w:right w:val="none" w:sz="0" w:space="0" w:color="auto"/>
                  </w:divBdr>
                  <w:divsChild>
                    <w:div w:id="2098557364">
                      <w:marLeft w:val="0"/>
                      <w:marRight w:val="0"/>
                      <w:marTop w:val="0"/>
                      <w:marBottom w:val="0"/>
                      <w:divBdr>
                        <w:top w:val="none" w:sz="0" w:space="0" w:color="auto"/>
                        <w:left w:val="none" w:sz="0" w:space="0" w:color="auto"/>
                        <w:bottom w:val="none" w:sz="0" w:space="0" w:color="auto"/>
                        <w:right w:val="none" w:sz="0" w:space="0" w:color="auto"/>
                      </w:divBdr>
                    </w:div>
                  </w:divsChild>
                </w:div>
                <w:div w:id="1236286417">
                  <w:marLeft w:val="0"/>
                  <w:marRight w:val="0"/>
                  <w:marTop w:val="0"/>
                  <w:marBottom w:val="0"/>
                  <w:divBdr>
                    <w:top w:val="none" w:sz="0" w:space="0" w:color="auto"/>
                    <w:left w:val="none" w:sz="0" w:space="0" w:color="auto"/>
                    <w:bottom w:val="none" w:sz="0" w:space="0" w:color="auto"/>
                    <w:right w:val="none" w:sz="0" w:space="0" w:color="auto"/>
                  </w:divBdr>
                  <w:divsChild>
                    <w:div w:id="404182751">
                      <w:marLeft w:val="0"/>
                      <w:marRight w:val="0"/>
                      <w:marTop w:val="0"/>
                      <w:marBottom w:val="0"/>
                      <w:divBdr>
                        <w:top w:val="none" w:sz="0" w:space="0" w:color="auto"/>
                        <w:left w:val="none" w:sz="0" w:space="0" w:color="auto"/>
                        <w:bottom w:val="none" w:sz="0" w:space="0" w:color="auto"/>
                        <w:right w:val="none" w:sz="0" w:space="0" w:color="auto"/>
                      </w:divBdr>
                    </w:div>
                  </w:divsChild>
                </w:div>
                <w:div w:id="1377706030">
                  <w:marLeft w:val="0"/>
                  <w:marRight w:val="0"/>
                  <w:marTop w:val="0"/>
                  <w:marBottom w:val="0"/>
                  <w:divBdr>
                    <w:top w:val="none" w:sz="0" w:space="0" w:color="auto"/>
                    <w:left w:val="none" w:sz="0" w:space="0" w:color="auto"/>
                    <w:bottom w:val="none" w:sz="0" w:space="0" w:color="auto"/>
                    <w:right w:val="none" w:sz="0" w:space="0" w:color="auto"/>
                  </w:divBdr>
                  <w:divsChild>
                    <w:div w:id="42608942">
                      <w:marLeft w:val="0"/>
                      <w:marRight w:val="0"/>
                      <w:marTop w:val="0"/>
                      <w:marBottom w:val="0"/>
                      <w:divBdr>
                        <w:top w:val="none" w:sz="0" w:space="0" w:color="auto"/>
                        <w:left w:val="none" w:sz="0" w:space="0" w:color="auto"/>
                        <w:bottom w:val="none" w:sz="0" w:space="0" w:color="auto"/>
                        <w:right w:val="none" w:sz="0" w:space="0" w:color="auto"/>
                      </w:divBdr>
                    </w:div>
                  </w:divsChild>
                </w:div>
                <w:div w:id="1513060733">
                  <w:marLeft w:val="0"/>
                  <w:marRight w:val="0"/>
                  <w:marTop w:val="0"/>
                  <w:marBottom w:val="0"/>
                  <w:divBdr>
                    <w:top w:val="none" w:sz="0" w:space="0" w:color="auto"/>
                    <w:left w:val="none" w:sz="0" w:space="0" w:color="auto"/>
                    <w:bottom w:val="none" w:sz="0" w:space="0" w:color="auto"/>
                    <w:right w:val="none" w:sz="0" w:space="0" w:color="auto"/>
                  </w:divBdr>
                  <w:divsChild>
                    <w:div w:id="1226452334">
                      <w:marLeft w:val="0"/>
                      <w:marRight w:val="0"/>
                      <w:marTop w:val="0"/>
                      <w:marBottom w:val="0"/>
                      <w:divBdr>
                        <w:top w:val="none" w:sz="0" w:space="0" w:color="auto"/>
                        <w:left w:val="none" w:sz="0" w:space="0" w:color="auto"/>
                        <w:bottom w:val="none" w:sz="0" w:space="0" w:color="auto"/>
                        <w:right w:val="none" w:sz="0" w:space="0" w:color="auto"/>
                      </w:divBdr>
                    </w:div>
                  </w:divsChild>
                </w:div>
                <w:div w:id="1719010948">
                  <w:marLeft w:val="0"/>
                  <w:marRight w:val="0"/>
                  <w:marTop w:val="0"/>
                  <w:marBottom w:val="0"/>
                  <w:divBdr>
                    <w:top w:val="none" w:sz="0" w:space="0" w:color="auto"/>
                    <w:left w:val="none" w:sz="0" w:space="0" w:color="auto"/>
                    <w:bottom w:val="none" w:sz="0" w:space="0" w:color="auto"/>
                    <w:right w:val="none" w:sz="0" w:space="0" w:color="auto"/>
                  </w:divBdr>
                  <w:divsChild>
                    <w:div w:id="1864975614">
                      <w:marLeft w:val="0"/>
                      <w:marRight w:val="0"/>
                      <w:marTop w:val="0"/>
                      <w:marBottom w:val="0"/>
                      <w:divBdr>
                        <w:top w:val="none" w:sz="0" w:space="0" w:color="auto"/>
                        <w:left w:val="none" w:sz="0" w:space="0" w:color="auto"/>
                        <w:bottom w:val="none" w:sz="0" w:space="0" w:color="auto"/>
                        <w:right w:val="none" w:sz="0" w:space="0" w:color="auto"/>
                      </w:divBdr>
                    </w:div>
                  </w:divsChild>
                </w:div>
                <w:div w:id="1728675429">
                  <w:marLeft w:val="0"/>
                  <w:marRight w:val="0"/>
                  <w:marTop w:val="0"/>
                  <w:marBottom w:val="0"/>
                  <w:divBdr>
                    <w:top w:val="none" w:sz="0" w:space="0" w:color="auto"/>
                    <w:left w:val="none" w:sz="0" w:space="0" w:color="auto"/>
                    <w:bottom w:val="none" w:sz="0" w:space="0" w:color="auto"/>
                    <w:right w:val="none" w:sz="0" w:space="0" w:color="auto"/>
                  </w:divBdr>
                  <w:divsChild>
                    <w:div w:id="2077316652">
                      <w:marLeft w:val="0"/>
                      <w:marRight w:val="0"/>
                      <w:marTop w:val="0"/>
                      <w:marBottom w:val="0"/>
                      <w:divBdr>
                        <w:top w:val="none" w:sz="0" w:space="0" w:color="auto"/>
                        <w:left w:val="none" w:sz="0" w:space="0" w:color="auto"/>
                        <w:bottom w:val="none" w:sz="0" w:space="0" w:color="auto"/>
                        <w:right w:val="none" w:sz="0" w:space="0" w:color="auto"/>
                      </w:divBdr>
                    </w:div>
                  </w:divsChild>
                </w:div>
                <w:div w:id="1817913400">
                  <w:marLeft w:val="0"/>
                  <w:marRight w:val="0"/>
                  <w:marTop w:val="0"/>
                  <w:marBottom w:val="0"/>
                  <w:divBdr>
                    <w:top w:val="none" w:sz="0" w:space="0" w:color="auto"/>
                    <w:left w:val="none" w:sz="0" w:space="0" w:color="auto"/>
                    <w:bottom w:val="none" w:sz="0" w:space="0" w:color="auto"/>
                    <w:right w:val="none" w:sz="0" w:space="0" w:color="auto"/>
                  </w:divBdr>
                  <w:divsChild>
                    <w:div w:id="1374387365">
                      <w:marLeft w:val="0"/>
                      <w:marRight w:val="0"/>
                      <w:marTop w:val="0"/>
                      <w:marBottom w:val="0"/>
                      <w:divBdr>
                        <w:top w:val="none" w:sz="0" w:space="0" w:color="auto"/>
                        <w:left w:val="none" w:sz="0" w:space="0" w:color="auto"/>
                        <w:bottom w:val="none" w:sz="0" w:space="0" w:color="auto"/>
                        <w:right w:val="none" w:sz="0" w:space="0" w:color="auto"/>
                      </w:divBdr>
                    </w:div>
                  </w:divsChild>
                </w:div>
                <w:div w:id="1902978926">
                  <w:marLeft w:val="0"/>
                  <w:marRight w:val="0"/>
                  <w:marTop w:val="0"/>
                  <w:marBottom w:val="0"/>
                  <w:divBdr>
                    <w:top w:val="none" w:sz="0" w:space="0" w:color="auto"/>
                    <w:left w:val="none" w:sz="0" w:space="0" w:color="auto"/>
                    <w:bottom w:val="none" w:sz="0" w:space="0" w:color="auto"/>
                    <w:right w:val="none" w:sz="0" w:space="0" w:color="auto"/>
                  </w:divBdr>
                  <w:divsChild>
                    <w:div w:id="571309615">
                      <w:marLeft w:val="0"/>
                      <w:marRight w:val="0"/>
                      <w:marTop w:val="0"/>
                      <w:marBottom w:val="0"/>
                      <w:divBdr>
                        <w:top w:val="none" w:sz="0" w:space="0" w:color="auto"/>
                        <w:left w:val="none" w:sz="0" w:space="0" w:color="auto"/>
                        <w:bottom w:val="none" w:sz="0" w:space="0" w:color="auto"/>
                        <w:right w:val="none" w:sz="0" w:space="0" w:color="auto"/>
                      </w:divBdr>
                    </w:div>
                  </w:divsChild>
                </w:div>
                <w:div w:id="1929851496">
                  <w:marLeft w:val="0"/>
                  <w:marRight w:val="0"/>
                  <w:marTop w:val="0"/>
                  <w:marBottom w:val="0"/>
                  <w:divBdr>
                    <w:top w:val="none" w:sz="0" w:space="0" w:color="auto"/>
                    <w:left w:val="none" w:sz="0" w:space="0" w:color="auto"/>
                    <w:bottom w:val="none" w:sz="0" w:space="0" w:color="auto"/>
                    <w:right w:val="none" w:sz="0" w:space="0" w:color="auto"/>
                  </w:divBdr>
                  <w:divsChild>
                    <w:div w:id="1120803698">
                      <w:marLeft w:val="0"/>
                      <w:marRight w:val="0"/>
                      <w:marTop w:val="0"/>
                      <w:marBottom w:val="0"/>
                      <w:divBdr>
                        <w:top w:val="none" w:sz="0" w:space="0" w:color="auto"/>
                        <w:left w:val="none" w:sz="0" w:space="0" w:color="auto"/>
                        <w:bottom w:val="none" w:sz="0" w:space="0" w:color="auto"/>
                        <w:right w:val="none" w:sz="0" w:space="0" w:color="auto"/>
                      </w:divBdr>
                    </w:div>
                  </w:divsChild>
                </w:div>
                <w:div w:id="1938247344">
                  <w:marLeft w:val="0"/>
                  <w:marRight w:val="0"/>
                  <w:marTop w:val="0"/>
                  <w:marBottom w:val="0"/>
                  <w:divBdr>
                    <w:top w:val="none" w:sz="0" w:space="0" w:color="auto"/>
                    <w:left w:val="none" w:sz="0" w:space="0" w:color="auto"/>
                    <w:bottom w:val="none" w:sz="0" w:space="0" w:color="auto"/>
                    <w:right w:val="none" w:sz="0" w:space="0" w:color="auto"/>
                  </w:divBdr>
                  <w:divsChild>
                    <w:div w:id="1409887515">
                      <w:marLeft w:val="0"/>
                      <w:marRight w:val="0"/>
                      <w:marTop w:val="0"/>
                      <w:marBottom w:val="0"/>
                      <w:divBdr>
                        <w:top w:val="none" w:sz="0" w:space="0" w:color="auto"/>
                        <w:left w:val="none" w:sz="0" w:space="0" w:color="auto"/>
                        <w:bottom w:val="none" w:sz="0" w:space="0" w:color="auto"/>
                        <w:right w:val="none" w:sz="0" w:space="0" w:color="auto"/>
                      </w:divBdr>
                    </w:div>
                  </w:divsChild>
                </w:div>
                <w:div w:id="1987781771">
                  <w:marLeft w:val="0"/>
                  <w:marRight w:val="0"/>
                  <w:marTop w:val="0"/>
                  <w:marBottom w:val="0"/>
                  <w:divBdr>
                    <w:top w:val="none" w:sz="0" w:space="0" w:color="auto"/>
                    <w:left w:val="none" w:sz="0" w:space="0" w:color="auto"/>
                    <w:bottom w:val="none" w:sz="0" w:space="0" w:color="auto"/>
                    <w:right w:val="none" w:sz="0" w:space="0" w:color="auto"/>
                  </w:divBdr>
                  <w:divsChild>
                    <w:div w:id="1921593727">
                      <w:marLeft w:val="0"/>
                      <w:marRight w:val="0"/>
                      <w:marTop w:val="0"/>
                      <w:marBottom w:val="0"/>
                      <w:divBdr>
                        <w:top w:val="none" w:sz="0" w:space="0" w:color="auto"/>
                        <w:left w:val="none" w:sz="0" w:space="0" w:color="auto"/>
                        <w:bottom w:val="none" w:sz="0" w:space="0" w:color="auto"/>
                        <w:right w:val="none" w:sz="0" w:space="0" w:color="auto"/>
                      </w:divBdr>
                    </w:div>
                  </w:divsChild>
                </w:div>
                <w:div w:id="2009936992">
                  <w:marLeft w:val="0"/>
                  <w:marRight w:val="0"/>
                  <w:marTop w:val="0"/>
                  <w:marBottom w:val="0"/>
                  <w:divBdr>
                    <w:top w:val="none" w:sz="0" w:space="0" w:color="auto"/>
                    <w:left w:val="none" w:sz="0" w:space="0" w:color="auto"/>
                    <w:bottom w:val="none" w:sz="0" w:space="0" w:color="auto"/>
                    <w:right w:val="none" w:sz="0" w:space="0" w:color="auto"/>
                  </w:divBdr>
                  <w:divsChild>
                    <w:div w:id="1326012178">
                      <w:marLeft w:val="0"/>
                      <w:marRight w:val="0"/>
                      <w:marTop w:val="0"/>
                      <w:marBottom w:val="0"/>
                      <w:divBdr>
                        <w:top w:val="none" w:sz="0" w:space="0" w:color="auto"/>
                        <w:left w:val="none" w:sz="0" w:space="0" w:color="auto"/>
                        <w:bottom w:val="none" w:sz="0" w:space="0" w:color="auto"/>
                        <w:right w:val="none" w:sz="0" w:space="0" w:color="auto"/>
                      </w:divBdr>
                    </w:div>
                  </w:divsChild>
                </w:div>
                <w:div w:id="2016566086">
                  <w:marLeft w:val="0"/>
                  <w:marRight w:val="0"/>
                  <w:marTop w:val="0"/>
                  <w:marBottom w:val="0"/>
                  <w:divBdr>
                    <w:top w:val="none" w:sz="0" w:space="0" w:color="auto"/>
                    <w:left w:val="none" w:sz="0" w:space="0" w:color="auto"/>
                    <w:bottom w:val="none" w:sz="0" w:space="0" w:color="auto"/>
                    <w:right w:val="none" w:sz="0" w:space="0" w:color="auto"/>
                  </w:divBdr>
                  <w:divsChild>
                    <w:div w:id="181937141">
                      <w:marLeft w:val="0"/>
                      <w:marRight w:val="0"/>
                      <w:marTop w:val="0"/>
                      <w:marBottom w:val="0"/>
                      <w:divBdr>
                        <w:top w:val="none" w:sz="0" w:space="0" w:color="auto"/>
                        <w:left w:val="none" w:sz="0" w:space="0" w:color="auto"/>
                        <w:bottom w:val="none" w:sz="0" w:space="0" w:color="auto"/>
                        <w:right w:val="none" w:sz="0" w:space="0" w:color="auto"/>
                      </w:divBdr>
                    </w:div>
                  </w:divsChild>
                </w:div>
                <w:div w:id="2111125861">
                  <w:marLeft w:val="0"/>
                  <w:marRight w:val="0"/>
                  <w:marTop w:val="0"/>
                  <w:marBottom w:val="0"/>
                  <w:divBdr>
                    <w:top w:val="none" w:sz="0" w:space="0" w:color="auto"/>
                    <w:left w:val="none" w:sz="0" w:space="0" w:color="auto"/>
                    <w:bottom w:val="none" w:sz="0" w:space="0" w:color="auto"/>
                    <w:right w:val="none" w:sz="0" w:space="0" w:color="auto"/>
                  </w:divBdr>
                  <w:divsChild>
                    <w:div w:id="14074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112">
          <w:marLeft w:val="0"/>
          <w:marRight w:val="0"/>
          <w:marTop w:val="0"/>
          <w:marBottom w:val="0"/>
          <w:divBdr>
            <w:top w:val="none" w:sz="0" w:space="0" w:color="auto"/>
            <w:left w:val="none" w:sz="0" w:space="0" w:color="auto"/>
            <w:bottom w:val="none" w:sz="0" w:space="0" w:color="auto"/>
            <w:right w:val="none" w:sz="0" w:space="0" w:color="auto"/>
          </w:divBdr>
        </w:div>
        <w:div w:id="638724441">
          <w:marLeft w:val="0"/>
          <w:marRight w:val="0"/>
          <w:marTop w:val="0"/>
          <w:marBottom w:val="0"/>
          <w:divBdr>
            <w:top w:val="none" w:sz="0" w:space="0" w:color="auto"/>
            <w:left w:val="none" w:sz="0" w:space="0" w:color="auto"/>
            <w:bottom w:val="none" w:sz="0" w:space="0" w:color="auto"/>
            <w:right w:val="none" w:sz="0" w:space="0" w:color="auto"/>
          </w:divBdr>
        </w:div>
        <w:div w:id="659506098">
          <w:marLeft w:val="0"/>
          <w:marRight w:val="0"/>
          <w:marTop w:val="0"/>
          <w:marBottom w:val="0"/>
          <w:divBdr>
            <w:top w:val="none" w:sz="0" w:space="0" w:color="auto"/>
            <w:left w:val="none" w:sz="0" w:space="0" w:color="auto"/>
            <w:bottom w:val="none" w:sz="0" w:space="0" w:color="auto"/>
            <w:right w:val="none" w:sz="0" w:space="0" w:color="auto"/>
          </w:divBdr>
        </w:div>
        <w:div w:id="669797897">
          <w:marLeft w:val="0"/>
          <w:marRight w:val="0"/>
          <w:marTop w:val="0"/>
          <w:marBottom w:val="0"/>
          <w:divBdr>
            <w:top w:val="none" w:sz="0" w:space="0" w:color="auto"/>
            <w:left w:val="none" w:sz="0" w:space="0" w:color="auto"/>
            <w:bottom w:val="none" w:sz="0" w:space="0" w:color="auto"/>
            <w:right w:val="none" w:sz="0" w:space="0" w:color="auto"/>
          </w:divBdr>
        </w:div>
        <w:div w:id="773594555">
          <w:marLeft w:val="0"/>
          <w:marRight w:val="0"/>
          <w:marTop w:val="0"/>
          <w:marBottom w:val="0"/>
          <w:divBdr>
            <w:top w:val="none" w:sz="0" w:space="0" w:color="auto"/>
            <w:left w:val="none" w:sz="0" w:space="0" w:color="auto"/>
            <w:bottom w:val="none" w:sz="0" w:space="0" w:color="auto"/>
            <w:right w:val="none" w:sz="0" w:space="0" w:color="auto"/>
          </w:divBdr>
        </w:div>
        <w:div w:id="910457428">
          <w:marLeft w:val="0"/>
          <w:marRight w:val="0"/>
          <w:marTop w:val="0"/>
          <w:marBottom w:val="0"/>
          <w:divBdr>
            <w:top w:val="none" w:sz="0" w:space="0" w:color="auto"/>
            <w:left w:val="none" w:sz="0" w:space="0" w:color="auto"/>
            <w:bottom w:val="none" w:sz="0" w:space="0" w:color="auto"/>
            <w:right w:val="none" w:sz="0" w:space="0" w:color="auto"/>
          </w:divBdr>
        </w:div>
        <w:div w:id="960385361">
          <w:marLeft w:val="0"/>
          <w:marRight w:val="0"/>
          <w:marTop w:val="0"/>
          <w:marBottom w:val="0"/>
          <w:divBdr>
            <w:top w:val="none" w:sz="0" w:space="0" w:color="auto"/>
            <w:left w:val="none" w:sz="0" w:space="0" w:color="auto"/>
            <w:bottom w:val="none" w:sz="0" w:space="0" w:color="auto"/>
            <w:right w:val="none" w:sz="0" w:space="0" w:color="auto"/>
          </w:divBdr>
        </w:div>
        <w:div w:id="985428370">
          <w:marLeft w:val="0"/>
          <w:marRight w:val="0"/>
          <w:marTop w:val="0"/>
          <w:marBottom w:val="0"/>
          <w:divBdr>
            <w:top w:val="none" w:sz="0" w:space="0" w:color="auto"/>
            <w:left w:val="none" w:sz="0" w:space="0" w:color="auto"/>
            <w:bottom w:val="none" w:sz="0" w:space="0" w:color="auto"/>
            <w:right w:val="none" w:sz="0" w:space="0" w:color="auto"/>
          </w:divBdr>
        </w:div>
        <w:div w:id="1029717292">
          <w:marLeft w:val="0"/>
          <w:marRight w:val="0"/>
          <w:marTop w:val="0"/>
          <w:marBottom w:val="0"/>
          <w:divBdr>
            <w:top w:val="none" w:sz="0" w:space="0" w:color="auto"/>
            <w:left w:val="none" w:sz="0" w:space="0" w:color="auto"/>
            <w:bottom w:val="none" w:sz="0" w:space="0" w:color="auto"/>
            <w:right w:val="none" w:sz="0" w:space="0" w:color="auto"/>
          </w:divBdr>
        </w:div>
        <w:div w:id="1035353284">
          <w:marLeft w:val="0"/>
          <w:marRight w:val="0"/>
          <w:marTop w:val="0"/>
          <w:marBottom w:val="0"/>
          <w:divBdr>
            <w:top w:val="none" w:sz="0" w:space="0" w:color="auto"/>
            <w:left w:val="none" w:sz="0" w:space="0" w:color="auto"/>
            <w:bottom w:val="none" w:sz="0" w:space="0" w:color="auto"/>
            <w:right w:val="none" w:sz="0" w:space="0" w:color="auto"/>
          </w:divBdr>
        </w:div>
        <w:div w:id="1085960839">
          <w:marLeft w:val="0"/>
          <w:marRight w:val="0"/>
          <w:marTop w:val="0"/>
          <w:marBottom w:val="0"/>
          <w:divBdr>
            <w:top w:val="none" w:sz="0" w:space="0" w:color="auto"/>
            <w:left w:val="none" w:sz="0" w:space="0" w:color="auto"/>
            <w:bottom w:val="none" w:sz="0" w:space="0" w:color="auto"/>
            <w:right w:val="none" w:sz="0" w:space="0" w:color="auto"/>
          </w:divBdr>
        </w:div>
        <w:div w:id="1268925573">
          <w:marLeft w:val="0"/>
          <w:marRight w:val="0"/>
          <w:marTop w:val="0"/>
          <w:marBottom w:val="0"/>
          <w:divBdr>
            <w:top w:val="none" w:sz="0" w:space="0" w:color="auto"/>
            <w:left w:val="none" w:sz="0" w:space="0" w:color="auto"/>
            <w:bottom w:val="none" w:sz="0" w:space="0" w:color="auto"/>
            <w:right w:val="none" w:sz="0" w:space="0" w:color="auto"/>
          </w:divBdr>
        </w:div>
        <w:div w:id="1287590717">
          <w:marLeft w:val="0"/>
          <w:marRight w:val="0"/>
          <w:marTop w:val="0"/>
          <w:marBottom w:val="0"/>
          <w:divBdr>
            <w:top w:val="none" w:sz="0" w:space="0" w:color="auto"/>
            <w:left w:val="none" w:sz="0" w:space="0" w:color="auto"/>
            <w:bottom w:val="none" w:sz="0" w:space="0" w:color="auto"/>
            <w:right w:val="none" w:sz="0" w:space="0" w:color="auto"/>
          </w:divBdr>
        </w:div>
        <w:div w:id="1322000557">
          <w:marLeft w:val="0"/>
          <w:marRight w:val="0"/>
          <w:marTop w:val="0"/>
          <w:marBottom w:val="0"/>
          <w:divBdr>
            <w:top w:val="none" w:sz="0" w:space="0" w:color="auto"/>
            <w:left w:val="none" w:sz="0" w:space="0" w:color="auto"/>
            <w:bottom w:val="none" w:sz="0" w:space="0" w:color="auto"/>
            <w:right w:val="none" w:sz="0" w:space="0" w:color="auto"/>
          </w:divBdr>
        </w:div>
        <w:div w:id="1333217391">
          <w:marLeft w:val="0"/>
          <w:marRight w:val="0"/>
          <w:marTop w:val="0"/>
          <w:marBottom w:val="0"/>
          <w:divBdr>
            <w:top w:val="none" w:sz="0" w:space="0" w:color="auto"/>
            <w:left w:val="none" w:sz="0" w:space="0" w:color="auto"/>
            <w:bottom w:val="none" w:sz="0" w:space="0" w:color="auto"/>
            <w:right w:val="none" w:sz="0" w:space="0" w:color="auto"/>
          </w:divBdr>
        </w:div>
        <w:div w:id="1380980710">
          <w:marLeft w:val="0"/>
          <w:marRight w:val="0"/>
          <w:marTop w:val="0"/>
          <w:marBottom w:val="0"/>
          <w:divBdr>
            <w:top w:val="none" w:sz="0" w:space="0" w:color="auto"/>
            <w:left w:val="none" w:sz="0" w:space="0" w:color="auto"/>
            <w:bottom w:val="none" w:sz="0" w:space="0" w:color="auto"/>
            <w:right w:val="none" w:sz="0" w:space="0" w:color="auto"/>
          </w:divBdr>
        </w:div>
        <w:div w:id="1502509086">
          <w:marLeft w:val="0"/>
          <w:marRight w:val="0"/>
          <w:marTop w:val="0"/>
          <w:marBottom w:val="0"/>
          <w:divBdr>
            <w:top w:val="none" w:sz="0" w:space="0" w:color="auto"/>
            <w:left w:val="none" w:sz="0" w:space="0" w:color="auto"/>
            <w:bottom w:val="none" w:sz="0" w:space="0" w:color="auto"/>
            <w:right w:val="none" w:sz="0" w:space="0" w:color="auto"/>
          </w:divBdr>
        </w:div>
        <w:div w:id="1640718743">
          <w:marLeft w:val="0"/>
          <w:marRight w:val="0"/>
          <w:marTop w:val="0"/>
          <w:marBottom w:val="0"/>
          <w:divBdr>
            <w:top w:val="none" w:sz="0" w:space="0" w:color="auto"/>
            <w:left w:val="none" w:sz="0" w:space="0" w:color="auto"/>
            <w:bottom w:val="none" w:sz="0" w:space="0" w:color="auto"/>
            <w:right w:val="none" w:sz="0" w:space="0" w:color="auto"/>
          </w:divBdr>
        </w:div>
        <w:div w:id="1668635225">
          <w:marLeft w:val="0"/>
          <w:marRight w:val="0"/>
          <w:marTop w:val="0"/>
          <w:marBottom w:val="0"/>
          <w:divBdr>
            <w:top w:val="none" w:sz="0" w:space="0" w:color="auto"/>
            <w:left w:val="none" w:sz="0" w:space="0" w:color="auto"/>
            <w:bottom w:val="none" w:sz="0" w:space="0" w:color="auto"/>
            <w:right w:val="none" w:sz="0" w:space="0" w:color="auto"/>
          </w:divBdr>
        </w:div>
        <w:div w:id="1719352913">
          <w:marLeft w:val="0"/>
          <w:marRight w:val="0"/>
          <w:marTop w:val="0"/>
          <w:marBottom w:val="0"/>
          <w:divBdr>
            <w:top w:val="none" w:sz="0" w:space="0" w:color="auto"/>
            <w:left w:val="none" w:sz="0" w:space="0" w:color="auto"/>
            <w:bottom w:val="none" w:sz="0" w:space="0" w:color="auto"/>
            <w:right w:val="none" w:sz="0" w:space="0" w:color="auto"/>
          </w:divBdr>
        </w:div>
        <w:div w:id="1808275241">
          <w:marLeft w:val="0"/>
          <w:marRight w:val="0"/>
          <w:marTop w:val="0"/>
          <w:marBottom w:val="0"/>
          <w:divBdr>
            <w:top w:val="none" w:sz="0" w:space="0" w:color="auto"/>
            <w:left w:val="none" w:sz="0" w:space="0" w:color="auto"/>
            <w:bottom w:val="none" w:sz="0" w:space="0" w:color="auto"/>
            <w:right w:val="none" w:sz="0" w:space="0" w:color="auto"/>
          </w:divBdr>
        </w:div>
        <w:div w:id="1820803922">
          <w:marLeft w:val="0"/>
          <w:marRight w:val="0"/>
          <w:marTop w:val="0"/>
          <w:marBottom w:val="0"/>
          <w:divBdr>
            <w:top w:val="none" w:sz="0" w:space="0" w:color="auto"/>
            <w:left w:val="none" w:sz="0" w:space="0" w:color="auto"/>
            <w:bottom w:val="none" w:sz="0" w:space="0" w:color="auto"/>
            <w:right w:val="none" w:sz="0" w:space="0" w:color="auto"/>
          </w:divBdr>
          <w:divsChild>
            <w:div w:id="110442755">
              <w:marLeft w:val="0"/>
              <w:marRight w:val="0"/>
              <w:marTop w:val="0"/>
              <w:marBottom w:val="0"/>
              <w:divBdr>
                <w:top w:val="none" w:sz="0" w:space="0" w:color="auto"/>
                <w:left w:val="none" w:sz="0" w:space="0" w:color="auto"/>
                <w:bottom w:val="none" w:sz="0" w:space="0" w:color="auto"/>
                <w:right w:val="none" w:sz="0" w:space="0" w:color="auto"/>
              </w:divBdr>
            </w:div>
            <w:div w:id="332026209">
              <w:marLeft w:val="0"/>
              <w:marRight w:val="0"/>
              <w:marTop w:val="0"/>
              <w:marBottom w:val="0"/>
              <w:divBdr>
                <w:top w:val="none" w:sz="0" w:space="0" w:color="auto"/>
                <w:left w:val="none" w:sz="0" w:space="0" w:color="auto"/>
                <w:bottom w:val="none" w:sz="0" w:space="0" w:color="auto"/>
                <w:right w:val="none" w:sz="0" w:space="0" w:color="auto"/>
              </w:divBdr>
            </w:div>
            <w:div w:id="1357462002">
              <w:marLeft w:val="0"/>
              <w:marRight w:val="0"/>
              <w:marTop w:val="0"/>
              <w:marBottom w:val="0"/>
              <w:divBdr>
                <w:top w:val="none" w:sz="0" w:space="0" w:color="auto"/>
                <w:left w:val="none" w:sz="0" w:space="0" w:color="auto"/>
                <w:bottom w:val="none" w:sz="0" w:space="0" w:color="auto"/>
                <w:right w:val="none" w:sz="0" w:space="0" w:color="auto"/>
              </w:divBdr>
            </w:div>
            <w:div w:id="1779138158">
              <w:marLeft w:val="0"/>
              <w:marRight w:val="0"/>
              <w:marTop w:val="0"/>
              <w:marBottom w:val="0"/>
              <w:divBdr>
                <w:top w:val="none" w:sz="0" w:space="0" w:color="auto"/>
                <w:left w:val="none" w:sz="0" w:space="0" w:color="auto"/>
                <w:bottom w:val="none" w:sz="0" w:space="0" w:color="auto"/>
                <w:right w:val="none" w:sz="0" w:space="0" w:color="auto"/>
              </w:divBdr>
              <w:divsChild>
                <w:div w:id="590549496">
                  <w:marLeft w:val="-75"/>
                  <w:marRight w:val="0"/>
                  <w:marTop w:val="30"/>
                  <w:marBottom w:val="30"/>
                  <w:divBdr>
                    <w:top w:val="none" w:sz="0" w:space="0" w:color="auto"/>
                    <w:left w:val="none" w:sz="0" w:space="0" w:color="auto"/>
                    <w:bottom w:val="none" w:sz="0" w:space="0" w:color="auto"/>
                    <w:right w:val="none" w:sz="0" w:space="0" w:color="auto"/>
                  </w:divBdr>
                  <w:divsChild>
                    <w:div w:id="312954340">
                      <w:marLeft w:val="0"/>
                      <w:marRight w:val="0"/>
                      <w:marTop w:val="0"/>
                      <w:marBottom w:val="0"/>
                      <w:divBdr>
                        <w:top w:val="none" w:sz="0" w:space="0" w:color="auto"/>
                        <w:left w:val="none" w:sz="0" w:space="0" w:color="auto"/>
                        <w:bottom w:val="none" w:sz="0" w:space="0" w:color="auto"/>
                        <w:right w:val="none" w:sz="0" w:space="0" w:color="auto"/>
                      </w:divBdr>
                      <w:divsChild>
                        <w:div w:id="1068114590">
                          <w:marLeft w:val="0"/>
                          <w:marRight w:val="0"/>
                          <w:marTop w:val="0"/>
                          <w:marBottom w:val="0"/>
                          <w:divBdr>
                            <w:top w:val="none" w:sz="0" w:space="0" w:color="auto"/>
                            <w:left w:val="none" w:sz="0" w:space="0" w:color="auto"/>
                            <w:bottom w:val="none" w:sz="0" w:space="0" w:color="auto"/>
                            <w:right w:val="none" w:sz="0" w:space="0" w:color="auto"/>
                          </w:divBdr>
                        </w:div>
                      </w:divsChild>
                    </w:div>
                    <w:div w:id="376130148">
                      <w:marLeft w:val="0"/>
                      <w:marRight w:val="0"/>
                      <w:marTop w:val="0"/>
                      <w:marBottom w:val="0"/>
                      <w:divBdr>
                        <w:top w:val="none" w:sz="0" w:space="0" w:color="auto"/>
                        <w:left w:val="none" w:sz="0" w:space="0" w:color="auto"/>
                        <w:bottom w:val="none" w:sz="0" w:space="0" w:color="auto"/>
                        <w:right w:val="none" w:sz="0" w:space="0" w:color="auto"/>
                      </w:divBdr>
                      <w:divsChild>
                        <w:div w:id="325984849">
                          <w:marLeft w:val="0"/>
                          <w:marRight w:val="0"/>
                          <w:marTop w:val="0"/>
                          <w:marBottom w:val="0"/>
                          <w:divBdr>
                            <w:top w:val="none" w:sz="0" w:space="0" w:color="auto"/>
                            <w:left w:val="none" w:sz="0" w:space="0" w:color="auto"/>
                            <w:bottom w:val="none" w:sz="0" w:space="0" w:color="auto"/>
                            <w:right w:val="none" w:sz="0" w:space="0" w:color="auto"/>
                          </w:divBdr>
                        </w:div>
                      </w:divsChild>
                    </w:div>
                    <w:div w:id="459419703">
                      <w:marLeft w:val="0"/>
                      <w:marRight w:val="0"/>
                      <w:marTop w:val="0"/>
                      <w:marBottom w:val="0"/>
                      <w:divBdr>
                        <w:top w:val="none" w:sz="0" w:space="0" w:color="auto"/>
                        <w:left w:val="none" w:sz="0" w:space="0" w:color="auto"/>
                        <w:bottom w:val="none" w:sz="0" w:space="0" w:color="auto"/>
                        <w:right w:val="none" w:sz="0" w:space="0" w:color="auto"/>
                      </w:divBdr>
                      <w:divsChild>
                        <w:div w:id="1886211799">
                          <w:marLeft w:val="0"/>
                          <w:marRight w:val="0"/>
                          <w:marTop w:val="0"/>
                          <w:marBottom w:val="0"/>
                          <w:divBdr>
                            <w:top w:val="none" w:sz="0" w:space="0" w:color="auto"/>
                            <w:left w:val="none" w:sz="0" w:space="0" w:color="auto"/>
                            <w:bottom w:val="none" w:sz="0" w:space="0" w:color="auto"/>
                            <w:right w:val="none" w:sz="0" w:space="0" w:color="auto"/>
                          </w:divBdr>
                        </w:div>
                      </w:divsChild>
                    </w:div>
                    <w:div w:id="707800547">
                      <w:marLeft w:val="0"/>
                      <w:marRight w:val="0"/>
                      <w:marTop w:val="0"/>
                      <w:marBottom w:val="0"/>
                      <w:divBdr>
                        <w:top w:val="none" w:sz="0" w:space="0" w:color="auto"/>
                        <w:left w:val="none" w:sz="0" w:space="0" w:color="auto"/>
                        <w:bottom w:val="none" w:sz="0" w:space="0" w:color="auto"/>
                        <w:right w:val="none" w:sz="0" w:space="0" w:color="auto"/>
                      </w:divBdr>
                      <w:divsChild>
                        <w:div w:id="1542209608">
                          <w:marLeft w:val="0"/>
                          <w:marRight w:val="0"/>
                          <w:marTop w:val="0"/>
                          <w:marBottom w:val="0"/>
                          <w:divBdr>
                            <w:top w:val="none" w:sz="0" w:space="0" w:color="auto"/>
                            <w:left w:val="none" w:sz="0" w:space="0" w:color="auto"/>
                            <w:bottom w:val="none" w:sz="0" w:space="0" w:color="auto"/>
                            <w:right w:val="none" w:sz="0" w:space="0" w:color="auto"/>
                          </w:divBdr>
                        </w:div>
                      </w:divsChild>
                    </w:div>
                    <w:div w:id="820971490">
                      <w:marLeft w:val="0"/>
                      <w:marRight w:val="0"/>
                      <w:marTop w:val="0"/>
                      <w:marBottom w:val="0"/>
                      <w:divBdr>
                        <w:top w:val="none" w:sz="0" w:space="0" w:color="auto"/>
                        <w:left w:val="none" w:sz="0" w:space="0" w:color="auto"/>
                        <w:bottom w:val="none" w:sz="0" w:space="0" w:color="auto"/>
                        <w:right w:val="none" w:sz="0" w:space="0" w:color="auto"/>
                      </w:divBdr>
                      <w:divsChild>
                        <w:div w:id="1358582534">
                          <w:marLeft w:val="0"/>
                          <w:marRight w:val="0"/>
                          <w:marTop w:val="0"/>
                          <w:marBottom w:val="0"/>
                          <w:divBdr>
                            <w:top w:val="none" w:sz="0" w:space="0" w:color="auto"/>
                            <w:left w:val="none" w:sz="0" w:space="0" w:color="auto"/>
                            <w:bottom w:val="none" w:sz="0" w:space="0" w:color="auto"/>
                            <w:right w:val="none" w:sz="0" w:space="0" w:color="auto"/>
                          </w:divBdr>
                        </w:div>
                      </w:divsChild>
                    </w:div>
                    <w:div w:id="1186938747">
                      <w:marLeft w:val="0"/>
                      <w:marRight w:val="0"/>
                      <w:marTop w:val="0"/>
                      <w:marBottom w:val="0"/>
                      <w:divBdr>
                        <w:top w:val="none" w:sz="0" w:space="0" w:color="auto"/>
                        <w:left w:val="none" w:sz="0" w:space="0" w:color="auto"/>
                        <w:bottom w:val="none" w:sz="0" w:space="0" w:color="auto"/>
                        <w:right w:val="none" w:sz="0" w:space="0" w:color="auto"/>
                      </w:divBdr>
                      <w:divsChild>
                        <w:div w:id="859929540">
                          <w:marLeft w:val="0"/>
                          <w:marRight w:val="0"/>
                          <w:marTop w:val="0"/>
                          <w:marBottom w:val="0"/>
                          <w:divBdr>
                            <w:top w:val="none" w:sz="0" w:space="0" w:color="auto"/>
                            <w:left w:val="none" w:sz="0" w:space="0" w:color="auto"/>
                            <w:bottom w:val="none" w:sz="0" w:space="0" w:color="auto"/>
                            <w:right w:val="none" w:sz="0" w:space="0" w:color="auto"/>
                          </w:divBdr>
                        </w:div>
                      </w:divsChild>
                    </w:div>
                    <w:div w:id="1467506509">
                      <w:marLeft w:val="0"/>
                      <w:marRight w:val="0"/>
                      <w:marTop w:val="0"/>
                      <w:marBottom w:val="0"/>
                      <w:divBdr>
                        <w:top w:val="none" w:sz="0" w:space="0" w:color="auto"/>
                        <w:left w:val="none" w:sz="0" w:space="0" w:color="auto"/>
                        <w:bottom w:val="none" w:sz="0" w:space="0" w:color="auto"/>
                        <w:right w:val="none" w:sz="0" w:space="0" w:color="auto"/>
                      </w:divBdr>
                      <w:divsChild>
                        <w:div w:id="1728186631">
                          <w:marLeft w:val="0"/>
                          <w:marRight w:val="0"/>
                          <w:marTop w:val="0"/>
                          <w:marBottom w:val="0"/>
                          <w:divBdr>
                            <w:top w:val="none" w:sz="0" w:space="0" w:color="auto"/>
                            <w:left w:val="none" w:sz="0" w:space="0" w:color="auto"/>
                            <w:bottom w:val="none" w:sz="0" w:space="0" w:color="auto"/>
                            <w:right w:val="none" w:sz="0" w:space="0" w:color="auto"/>
                          </w:divBdr>
                        </w:div>
                      </w:divsChild>
                    </w:div>
                    <w:div w:id="1555003119">
                      <w:marLeft w:val="0"/>
                      <w:marRight w:val="0"/>
                      <w:marTop w:val="0"/>
                      <w:marBottom w:val="0"/>
                      <w:divBdr>
                        <w:top w:val="none" w:sz="0" w:space="0" w:color="auto"/>
                        <w:left w:val="none" w:sz="0" w:space="0" w:color="auto"/>
                        <w:bottom w:val="none" w:sz="0" w:space="0" w:color="auto"/>
                        <w:right w:val="none" w:sz="0" w:space="0" w:color="auto"/>
                      </w:divBdr>
                      <w:divsChild>
                        <w:div w:id="1845977661">
                          <w:marLeft w:val="0"/>
                          <w:marRight w:val="0"/>
                          <w:marTop w:val="0"/>
                          <w:marBottom w:val="0"/>
                          <w:divBdr>
                            <w:top w:val="none" w:sz="0" w:space="0" w:color="auto"/>
                            <w:left w:val="none" w:sz="0" w:space="0" w:color="auto"/>
                            <w:bottom w:val="none" w:sz="0" w:space="0" w:color="auto"/>
                            <w:right w:val="none" w:sz="0" w:space="0" w:color="auto"/>
                          </w:divBdr>
                        </w:div>
                      </w:divsChild>
                    </w:div>
                    <w:div w:id="1583418383">
                      <w:marLeft w:val="0"/>
                      <w:marRight w:val="0"/>
                      <w:marTop w:val="0"/>
                      <w:marBottom w:val="0"/>
                      <w:divBdr>
                        <w:top w:val="none" w:sz="0" w:space="0" w:color="auto"/>
                        <w:left w:val="none" w:sz="0" w:space="0" w:color="auto"/>
                        <w:bottom w:val="none" w:sz="0" w:space="0" w:color="auto"/>
                        <w:right w:val="none" w:sz="0" w:space="0" w:color="auto"/>
                      </w:divBdr>
                      <w:divsChild>
                        <w:div w:id="960383334">
                          <w:marLeft w:val="0"/>
                          <w:marRight w:val="0"/>
                          <w:marTop w:val="0"/>
                          <w:marBottom w:val="0"/>
                          <w:divBdr>
                            <w:top w:val="none" w:sz="0" w:space="0" w:color="auto"/>
                            <w:left w:val="none" w:sz="0" w:space="0" w:color="auto"/>
                            <w:bottom w:val="none" w:sz="0" w:space="0" w:color="auto"/>
                            <w:right w:val="none" w:sz="0" w:space="0" w:color="auto"/>
                          </w:divBdr>
                        </w:div>
                      </w:divsChild>
                    </w:div>
                    <w:div w:id="1583678337">
                      <w:marLeft w:val="0"/>
                      <w:marRight w:val="0"/>
                      <w:marTop w:val="0"/>
                      <w:marBottom w:val="0"/>
                      <w:divBdr>
                        <w:top w:val="none" w:sz="0" w:space="0" w:color="auto"/>
                        <w:left w:val="none" w:sz="0" w:space="0" w:color="auto"/>
                        <w:bottom w:val="none" w:sz="0" w:space="0" w:color="auto"/>
                        <w:right w:val="none" w:sz="0" w:space="0" w:color="auto"/>
                      </w:divBdr>
                      <w:divsChild>
                        <w:div w:id="1808667441">
                          <w:marLeft w:val="0"/>
                          <w:marRight w:val="0"/>
                          <w:marTop w:val="0"/>
                          <w:marBottom w:val="0"/>
                          <w:divBdr>
                            <w:top w:val="none" w:sz="0" w:space="0" w:color="auto"/>
                            <w:left w:val="none" w:sz="0" w:space="0" w:color="auto"/>
                            <w:bottom w:val="none" w:sz="0" w:space="0" w:color="auto"/>
                            <w:right w:val="none" w:sz="0" w:space="0" w:color="auto"/>
                          </w:divBdr>
                        </w:div>
                      </w:divsChild>
                    </w:div>
                    <w:div w:id="1615163844">
                      <w:marLeft w:val="0"/>
                      <w:marRight w:val="0"/>
                      <w:marTop w:val="0"/>
                      <w:marBottom w:val="0"/>
                      <w:divBdr>
                        <w:top w:val="none" w:sz="0" w:space="0" w:color="auto"/>
                        <w:left w:val="none" w:sz="0" w:space="0" w:color="auto"/>
                        <w:bottom w:val="none" w:sz="0" w:space="0" w:color="auto"/>
                        <w:right w:val="none" w:sz="0" w:space="0" w:color="auto"/>
                      </w:divBdr>
                      <w:divsChild>
                        <w:div w:id="1816750250">
                          <w:marLeft w:val="0"/>
                          <w:marRight w:val="0"/>
                          <w:marTop w:val="0"/>
                          <w:marBottom w:val="0"/>
                          <w:divBdr>
                            <w:top w:val="none" w:sz="0" w:space="0" w:color="auto"/>
                            <w:left w:val="none" w:sz="0" w:space="0" w:color="auto"/>
                            <w:bottom w:val="none" w:sz="0" w:space="0" w:color="auto"/>
                            <w:right w:val="none" w:sz="0" w:space="0" w:color="auto"/>
                          </w:divBdr>
                        </w:div>
                      </w:divsChild>
                    </w:div>
                    <w:div w:id="1681198518">
                      <w:marLeft w:val="0"/>
                      <w:marRight w:val="0"/>
                      <w:marTop w:val="0"/>
                      <w:marBottom w:val="0"/>
                      <w:divBdr>
                        <w:top w:val="none" w:sz="0" w:space="0" w:color="auto"/>
                        <w:left w:val="none" w:sz="0" w:space="0" w:color="auto"/>
                        <w:bottom w:val="none" w:sz="0" w:space="0" w:color="auto"/>
                        <w:right w:val="none" w:sz="0" w:space="0" w:color="auto"/>
                      </w:divBdr>
                      <w:divsChild>
                        <w:div w:id="184052849">
                          <w:marLeft w:val="0"/>
                          <w:marRight w:val="0"/>
                          <w:marTop w:val="0"/>
                          <w:marBottom w:val="0"/>
                          <w:divBdr>
                            <w:top w:val="none" w:sz="0" w:space="0" w:color="auto"/>
                            <w:left w:val="none" w:sz="0" w:space="0" w:color="auto"/>
                            <w:bottom w:val="none" w:sz="0" w:space="0" w:color="auto"/>
                            <w:right w:val="none" w:sz="0" w:space="0" w:color="auto"/>
                          </w:divBdr>
                        </w:div>
                      </w:divsChild>
                    </w:div>
                    <w:div w:id="1759133590">
                      <w:marLeft w:val="0"/>
                      <w:marRight w:val="0"/>
                      <w:marTop w:val="0"/>
                      <w:marBottom w:val="0"/>
                      <w:divBdr>
                        <w:top w:val="none" w:sz="0" w:space="0" w:color="auto"/>
                        <w:left w:val="none" w:sz="0" w:space="0" w:color="auto"/>
                        <w:bottom w:val="none" w:sz="0" w:space="0" w:color="auto"/>
                        <w:right w:val="none" w:sz="0" w:space="0" w:color="auto"/>
                      </w:divBdr>
                      <w:divsChild>
                        <w:div w:id="1514420921">
                          <w:marLeft w:val="0"/>
                          <w:marRight w:val="0"/>
                          <w:marTop w:val="0"/>
                          <w:marBottom w:val="0"/>
                          <w:divBdr>
                            <w:top w:val="none" w:sz="0" w:space="0" w:color="auto"/>
                            <w:left w:val="none" w:sz="0" w:space="0" w:color="auto"/>
                            <w:bottom w:val="none" w:sz="0" w:space="0" w:color="auto"/>
                            <w:right w:val="none" w:sz="0" w:space="0" w:color="auto"/>
                          </w:divBdr>
                        </w:div>
                      </w:divsChild>
                    </w:div>
                    <w:div w:id="1932814555">
                      <w:marLeft w:val="0"/>
                      <w:marRight w:val="0"/>
                      <w:marTop w:val="0"/>
                      <w:marBottom w:val="0"/>
                      <w:divBdr>
                        <w:top w:val="none" w:sz="0" w:space="0" w:color="auto"/>
                        <w:left w:val="none" w:sz="0" w:space="0" w:color="auto"/>
                        <w:bottom w:val="none" w:sz="0" w:space="0" w:color="auto"/>
                        <w:right w:val="none" w:sz="0" w:space="0" w:color="auto"/>
                      </w:divBdr>
                      <w:divsChild>
                        <w:div w:id="584190886">
                          <w:marLeft w:val="0"/>
                          <w:marRight w:val="0"/>
                          <w:marTop w:val="0"/>
                          <w:marBottom w:val="0"/>
                          <w:divBdr>
                            <w:top w:val="none" w:sz="0" w:space="0" w:color="auto"/>
                            <w:left w:val="none" w:sz="0" w:space="0" w:color="auto"/>
                            <w:bottom w:val="none" w:sz="0" w:space="0" w:color="auto"/>
                            <w:right w:val="none" w:sz="0" w:space="0" w:color="auto"/>
                          </w:divBdr>
                        </w:div>
                      </w:divsChild>
                    </w:div>
                    <w:div w:id="1984384644">
                      <w:marLeft w:val="0"/>
                      <w:marRight w:val="0"/>
                      <w:marTop w:val="0"/>
                      <w:marBottom w:val="0"/>
                      <w:divBdr>
                        <w:top w:val="none" w:sz="0" w:space="0" w:color="auto"/>
                        <w:left w:val="none" w:sz="0" w:space="0" w:color="auto"/>
                        <w:bottom w:val="none" w:sz="0" w:space="0" w:color="auto"/>
                        <w:right w:val="none" w:sz="0" w:space="0" w:color="auto"/>
                      </w:divBdr>
                      <w:divsChild>
                        <w:div w:id="1753428281">
                          <w:marLeft w:val="0"/>
                          <w:marRight w:val="0"/>
                          <w:marTop w:val="0"/>
                          <w:marBottom w:val="0"/>
                          <w:divBdr>
                            <w:top w:val="none" w:sz="0" w:space="0" w:color="auto"/>
                            <w:left w:val="none" w:sz="0" w:space="0" w:color="auto"/>
                            <w:bottom w:val="none" w:sz="0" w:space="0" w:color="auto"/>
                            <w:right w:val="none" w:sz="0" w:space="0" w:color="auto"/>
                          </w:divBdr>
                        </w:div>
                      </w:divsChild>
                    </w:div>
                    <w:div w:id="2070301250">
                      <w:marLeft w:val="0"/>
                      <w:marRight w:val="0"/>
                      <w:marTop w:val="0"/>
                      <w:marBottom w:val="0"/>
                      <w:divBdr>
                        <w:top w:val="none" w:sz="0" w:space="0" w:color="auto"/>
                        <w:left w:val="none" w:sz="0" w:space="0" w:color="auto"/>
                        <w:bottom w:val="none" w:sz="0" w:space="0" w:color="auto"/>
                        <w:right w:val="none" w:sz="0" w:space="0" w:color="auto"/>
                      </w:divBdr>
                      <w:divsChild>
                        <w:div w:id="1296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9378">
              <w:marLeft w:val="0"/>
              <w:marRight w:val="0"/>
              <w:marTop w:val="0"/>
              <w:marBottom w:val="0"/>
              <w:divBdr>
                <w:top w:val="none" w:sz="0" w:space="0" w:color="auto"/>
                <w:left w:val="none" w:sz="0" w:space="0" w:color="auto"/>
                <w:bottom w:val="none" w:sz="0" w:space="0" w:color="auto"/>
                <w:right w:val="none" w:sz="0" w:space="0" w:color="auto"/>
              </w:divBdr>
            </w:div>
          </w:divsChild>
        </w:div>
        <w:div w:id="1896424377">
          <w:marLeft w:val="0"/>
          <w:marRight w:val="0"/>
          <w:marTop w:val="0"/>
          <w:marBottom w:val="0"/>
          <w:divBdr>
            <w:top w:val="none" w:sz="0" w:space="0" w:color="auto"/>
            <w:left w:val="none" w:sz="0" w:space="0" w:color="auto"/>
            <w:bottom w:val="none" w:sz="0" w:space="0" w:color="auto"/>
            <w:right w:val="none" w:sz="0" w:space="0" w:color="auto"/>
          </w:divBdr>
        </w:div>
        <w:div w:id="1914196901">
          <w:marLeft w:val="0"/>
          <w:marRight w:val="0"/>
          <w:marTop w:val="0"/>
          <w:marBottom w:val="0"/>
          <w:divBdr>
            <w:top w:val="none" w:sz="0" w:space="0" w:color="auto"/>
            <w:left w:val="none" w:sz="0" w:space="0" w:color="auto"/>
            <w:bottom w:val="none" w:sz="0" w:space="0" w:color="auto"/>
            <w:right w:val="none" w:sz="0" w:space="0" w:color="auto"/>
          </w:divBdr>
        </w:div>
        <w:div w:id="1922448712">
          <w:marLeft w:val="0"/>
          <w:marRight w:val="0"/>
          <w:marTop w:val="0"/>
          <w:marBottom w:val="0"/>
          <w:divBdr>
            <w:top w:val="none" w:sz="0" w:space="0" w:color="auto"/>
            <w:left w:val="none" w:sz="0" w:space="0" w:color="auto"/>
            <w:bottom w:val="none" w:sz="0" w:space="0" w:color="auto"/>
            <w:right w:val="none" w:sz="0" w:space="0" w:color="auto"/>
          </w:divBdr>
          <w:divsChild>
            <w:div w:id="856384143">
              <w:marLeft w:val="0"/>
              <w:marRight w:val="0"/>
              <w:marTop w:val="0"/>
              <w:marBottom w:val="0"/>
              <w:divBdr>
                <w:top w:val="none" w:sz="0" w:space="0" w:color="auto"/>
                <w:left w:val="none" w:sz="0" w:space="0" w:color="auto"/>
                <w:bottom w:val="none" w:sz="0" w:space="0" w:color="auto"/>
                <w:right w:val="none" w:sz="0" w:space="0" w:color="auto"/>
              </w:divBdr>
            </w:div>
            <w:div w:id="1032339672">
              <w:marLeft w:val="0"/>
              <w:marRight w:val="0"/>
              <w:marTop w:val="0"/>
              <w:marBottom w:val="0"/>
              <w:divBdr>
                <w:top w:val="none" w:sz="0" w:space="0" w:color="auto"/>
                <w:left w:val="none" w:sz="0" w:space="0" w:color="auto"/>
                <w:bottom w:val="none" w:sz="0" w:space="0" w:color="auto"/>
                <w:right w:val="none" w:sz="0" w:space="0" w:color="auto"/>
              </w:divBdr>
            </w:div>
            <w:div w:id="1066608534">
              <w:marLeft w:val="0"/>
              <w:marRight w:val="0"/>
              <w:marTop w:val="0"/>
              <w:marBottom w:val="0"/>
              <w:divBdr>
                <w:top w:val="none" w:sz="0" w:space="0" w:color="auto"/>
                <w:left w:val="none" w:sz="0" w:space="0" w:color="auto"/>
                <w:bottom w:val="none" w:sz="0" w:space="0" w:color="auto"/>
                <w:right w:val="none" w:sz="0" w:space="0" w:color="auto"/>
              </w:divBdr>
            </w:div>
            <w:div w:id="1200894586">
              <w:marLeft w:val="0"/>
              <w:marRight w:val="0"/>
              <w:marTop w:val="0"/>
              <w:marBottom w:val="0"/>
              <w:divBdr>
                <w:top w:val="none" w:sz="0" w:space="0" w:color="auto"/>
                <w:left w:val="none" w:sz="0" w:space="0" w:color="auto"/>
                <w:bottom w:val="none" w:sz="0" w:space="0" w:color="auto"/>
                <w:right w:val="none" w:sz="0" w:space="0" w:color="auto"/>
              </w:divBdr>
            </w:div>
            <w:div w:id="2059428981">
              <w:marLeft w:val="0"/>
              <w:marRight w:val="0"/>
              <w:marTop w:val="0"/>
              <w:marBottom w:val="0"/>
              <w:divBdr>
                <w:top w:val="none" w:sz="0" w:space="0" w:color="auto"/>
                <w:left w:val="none" w:sz="0" w:space="0" w:color="auto"/>
                <w:bottom w:val="none" w:sz="0" w:space="0" w:color="auto"/>
                <w:right w:val="none" w:sz="0" w:space="0" w:color="auto"/>
              </w:divBdr>
            </w:div>
          </w:divsChild>
        </w:div>
        <w:div w:id="2066904696">
          <w:marLeft w:val="0"/>
          <w:marRight w:val="0"/>
          <w:marTop w:val="0"/>
          <w:marBottom w:val="0"/>
          <w:divBdr>
            <w:top w:val="none" w:sz="0" w:space="0" w:color="auto"/>
            <w:left w:val="none" w:sz="0" w:space="0" w:color="auto"/>
            <w:bottom w:val="none" w:sz="0" w:space="0" w:color="auto"/>
            <w:right w:val="none" w:sz="0" w:space="0" w:color="auto"/>
          </w:divBdr>
          <w:divsChild>
            <w:div w:id="231278959">
              <w:marLeft w:val="0"/>
              <w:marRight w:val="0"/>
              <w:marTop w:val="0"/>
              <w:marBottom w:val="0"/>
              <w:divBdr>
                <w:top w:val="none" w:sz="0" w:space="0" w:color="auto"/>
                <w:left w:val="none" w:sz="0" w:space="0" w:color="auto"/>
                <w:bottom w:val="none" w:sz="0" w:space="0" w:color="auto"/>
                <w:right w:val="none" w:sz="0" w:space="0" w:color="auto"/>
              </w:divBdr>
            </w:div>
            <w:div w:id="429274706">
              <w:marLeft w:val="0"/>
              <w:marRight w:val="0"/>
              <w:marTop w:val="0"/>
              <w:marBottom w:val="0"/>
              <w:divBdr>
                <w:top w:val="none" w:sz="0" w:space="0" w:color="auto"/>
                <w:left w:val="none" w:sz="0" w:space="0" w:color="auto"/>
                <w:bottom w:val="none" w:sz="0" w:space="0" w:color="auto"/>
                <w:right w:val="none" w:sz="0" w:space="0" w:color="auto"/>
              </w:divBdr>
            </w:div>
            <w:div w:id="737631723">
              <w:marLeft w:val="0"/>
              <w:marRight w:val="0"/>
              <w:marTop w:val="0"/>
              <w:marBottom w:val="0"/>
              <w:divBdr>
                <w:top w:val="none" w:sz="0" w:space="0" w:color="auto"/>
                <w:left w:val="none" w:sz="0" w:space="0" w:color="auto"/>
                <w:bottom w:val="none" w:sz="0" w:space="0" w:color="auto"/>
                <w:right w:val="none" w:sz="0" w:space="0" w:color="auto"/>
              </w:divBdr>
            </w:div>
            <w:div w:id="1037008451">
              <w:marLeft w:val="0"/>
              <w:marRight w:val="0"/>
              <w:marTop w:val="0"/>
              <w:marBottom w:val="0"/>
              <w:divBdr>
                <w:top w:val="none" w:sz="0" w:space="0" w:color="auto"/>
                <w:left w:val="none" w:sz="0" w:space="0" w:color="auto"/>
                <w:bottom w:val="none" w:sz="0" w:space="0" w:color="auto"/>
                <w:right w:val="none" w:sz="0" w:space="0" w:color="auto"/>
              </w:divBdr>
            </w:div>
            <w:div w:id="2086603831">
              <w:marLeft w:val="0"/>
              <w:marRight w:val="0"/>
              <w:marTop w:val="0"/>
              <w:marBottom w:val="0"/>
              <w:divBdr>
                <w:top w:val="none" w:sz="0" w:space="0" w:color="auto"/>
                <w:left w:val="none" w:sz="0" w:space="0" w:color="auto"/>
                <w:bottom w:val="none" w:sz="0" w:space="0" w:color="auto"/>
                <w:right w:val="none" w:sz="0" w:space="0" w:color="auto"/>
              </w:divBdr>
            </w:div>
          </w:divsChild>
        </w:div>
        <w:div w:id="2112891436">
          <w:marLeft w:val="0"/>
          <w:marRight w:val="0"/>
          <w:marTop w:val="0"/>
          <w:marBottom w:val="0"/>
          <w:divBdr>
            <w:top w:val="none" w:sz="0" w:space="0" w:color="auto"/>
            <w:left w:val="none" w:sz="0" w:space="0" w:color="auto"/>
            <w:bottom w:val="none" w:sz="0" w:space="0" w:color="auto"/>
            <w:right w:val="none" w:sz="0" w:space="0" w:color="auto"/>
          </w:divBdr>
        </w:div>
      </w:divsChild>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950093679">
      <w:bodyDiv w:val="1"/>
      <w:marLeft w:val="0"/>
      <w:marRight w:val="0"/>
      <w:marTop w:val="0"/>
      <w:marBottom w:val="0"/>
      <w:divBdr>
        <w:top w:val="none" w:sz="0" w:space="0" w:color="auto"/>
        <w:left w:val="none" w:sz="0" w:space="0" w:color="auto"/>
        <w:bottom w:val="none" w:sz="0" w:space="0" w:color="auto"/>
        <w:right w:val="none" w:sz="0" w:space="0" w:color="auto"/>
      </w:divBdr>
    </w:div>
    <w:div w:id="1011571444">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5669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06A5-C5BF-B84E-8EFD-36DCAA9A55E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40.xml><?xml version="1.0" encoding="utf-8"?>
<clbl:labelList xmlns:clbl="http://schemas.microsoft.com/office/2020/mipLabelMetadata"/>
</file>

<file path=docMetadata/LabelInfo41.xml><?xml version="1.0" encoding="utf-8"?>
<clbl:labelList xmlns:clbl="http://schemas.microsoft.com/office/2020/mipLabelMetadata"/>
</file>

<file path=docMetadata/LabelInfo42.xml><?xml version="1.0" encoding="utf-8"?>
<clbl:labelList xmlns:clbl="http://schemas.microsoft.com/office/2020/mipLabelMetadata"/>
</file>

<file path=docMetadata/LabelInfo43.xml><?xml version="1.0" encoding="utf-8"?>
<clbl:labelList xmlns:clbl="http://schemas.microsoft.com/office/2020/mipLabelMetadata"/>
</file>

<file path=docMetadata/LabelInfo44.xml><?xml version="1.0" encoding="utf-8"?>
<clbl:labelList xmlns:clbl="http://schemas.microsoft.com/office/2020/mipLabelMetadata"/>
</file>

<file path=docMetadata/LabelInfo45.xml><?xml version="1.0" encoding="utf-8"?>
<clbl:labelList xmlns:clbl="http://schemas.microsoft.com/office/2020/mipLabelMetadata"/>
</file>

<file path=docMetadata/LabelInfo46.xml><?xml version="1.0" encoding="utf-8"?>
<clbl:labelList xmlns:clbl="http://schemas.microsoft.com/office/2020/mipLabelMetadata"/>
</file>

<file path=docMetadata/LabelInfo47.xml><?xml version="1.0" encoding="utf-8"?>
<clbl:labelList xmlns:clbl="http://schemas.microsoft.com/office/2020/mipLabelMetadata"/>
</file>

<file path=docMetadata/LabelInfo48.xml><?xml version="1.0" encoding="utf-8"?>
<clbl:labelList xmlns:clbl="http://schemas.microsoft.com/office/2020/mipLabelMetadata"/>
</file>

<file path=docMetadata/LabelInfo49.xml><?xml version="1.0" encoding="utf-8"?>
<clbl:labelList xmlns:clbl="http://schemas.microsoft.com/office/2020/mipLabelMetadata"/>
</file>

<file path=docMetadata/LabelInfo5.xml><?xml version="1.0" encoding="utf-8"?>
<clbl:labelList xmlns:clbl="http://schemas.microsoft.com/office/2020/mipLabelMetadata"/>
</file>

<file path=docMetadata/LabelInfo50.xml><?xml version="1.0" encoding="utf-8"?>
<clbl:labelList xmlns:clbl="http://schemas.microsoft.com/office/2020/mipLabelMetadata"/>
</file>

<file path=docMetadata/LabelInfo51.xml><?xml version="1.0" encoding="utf-8"?>
<clbl:labelList xmlns:clbl="http://schemas.microsoft.com/office/2020/mipLabelMetadata"/>
</file>

<file path=docMetadata/LabelInfo52.xml><?xml version="1.0" encoding="utf-8"?>
<clbl:labelList xmlns:clbl="http://schemas.microsoft.com/office/2020/mipLabelMetadata"/>
</file>

<file path=docMetadata/LabelInfo53.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Pages>
  <Words>2493</Words>
  <Characters>14211</Characters>
  <Application>Microsoft Office Word</Application>
  <DocSecurity>0</DocSecurity>
  <Lines>118</Lines>
  <Paragraphs>33</Paragraphs>
  <ScaleCrop>false</ScaleCrop>
  <Company>UWEC</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Tollison, Riley James</cp:lastModifiedBy>
  <cp:revision>2</cp:revision>
  <dcterms:created xsi:type="dcterms:W3CDTF">2020-11-04T20:54:00Z</dcterms:created>
  <dcterms:modified xsi:type="dcterms:W3CDTF">2020-11-04T20:54:00Z</dcterms:modified>
</cp:coreProperties>
</file>