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2274" w14:textId="41C3BF63" w:rsidR="0074385A" w:rsidRDefault="00F96A4C" w:rsidP="0074385A">
      <w:pPr>
        <w:rPr>
          <w:b/>
          <w:bCs/>
          <w:color w:val="1F3864" w:themeColor="accent5" w:themeShade="80"/>
          <w:sz w:val="24"/>
          <w:szCs w:val="24"/>
        </w:rPr>
      </w:pPr>
      <w:r w:rsidRPr="00455693">
        <w:rPr>
          <w:noProof/>
          <w:sz w:val="20"/>
          <w:szCs w:val="20"/>
        </w:rPr>
        <w:drawing>
          <wp:anchor distT="0" distB="0" distL="114300" distR="114300" simplePos="0" relativeHeight="251659776" behindDoc="0" locked="0" layoutInCell="1" allowOverlap="1" wp14:anchorId="6E4809FD" wp14:editId="45215075">
            <wp:simplePos x="0" y="0"/>
            <wp:positionH relativeFrom="margin">
              <wp:align>left</wp:align>
            </wp:positionH>
            <wp:positionV relativeFrom="paragraph">
              <wp:posOffset>236220</wp:posOffset>
            </wp:positionV>
            <wp:extent cx="3017520" cy="1120140"/>
            <wp:effectExtent l="0" t="0" r="0" b="3810"/>
            <wp:wrapTight wrapText="bothSides">
              <wp:wrapPolygon edited="0">
                <wp:start x="0" y="0"/>
                <wp:lineTo x="0" y="21306"/>
                <wp:lineTo x="21409" y="21306"/>
                <wp:lineTo x="2140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1752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1164A" w14:textId="532B5E0B" w:rsidR="00EA462B" w:rsidRPr="0074385A" w:rsidRDefault="007B4D24" w:rsidP="0074385A">
      <w:pPr>
        <w:rPr>
          <w:b/>
          <w:bCs/>
          <w:color w:val="1F4E79" w:themeColor="accent1" w:themeShade="80"/>
          <w:sz w:val="32"/>
          <w:szCs w:val="32"/>
        </w:rPr>
      </w:pPr>
      <w:proofErr w:type="spellStart"/>
      <w:r>
        <w:rPr>
          <w:b/>
          <w:bCs/>
          <w:color w:val="1F3864" w:themeColor="accent5" w:themeShade="80"/>
          <w:sz w:val="24"/>
          <w:szCs w:val="24"/>
        </w:rPr>
        <w:t>RuoQian</w:t>
      </w:r>
      <w:proofErr w:type="spellEnd"/>
      <w:r>
        <w:rPr>
          <w:b/>
          <w:bCs/>
          <w:color w:val="1F3864" w:themeColor="accent5" w:themeShade="80"/>
          <w:sz w:val="24"/>
          <w:szCs w:val="24"/>
        </w:rPr>
        <w:t xml:space="preserve"> Hu</w:t>
      </w:r>
      <w:r w:rsidR="00EA462B" w:rsidRPr="0074385A">
        <w:rPr>
          <w:b/>
          <w:bCs/>
          <w:color w:val="1F3864" w:themeColor="accent5" w:themeShade="80"/>
          <w:sz w:val="24"/>
          <w:szCs w:val="24"/>
        </w:rPr>
        <w:t xml:space="preserve"> &amp; </w:t>
      </w:r>
      <w:proofErr w:type="spellStart"/>
      <w:r>
        <w:rPr>
          <w:b/>
          <w:bCs/>
          <w:color w:val="1F3864" w:themeColor="accent5" w:themeShade="80"/>
          <w:sz w:val="24"/>
          <w:szCs w:val="24"/>
        </w:rPr>
        <w:t>Yichen</w:t>
      </w:r>
      <w:proofErr w:type="spellEnd"/>
      <w:r>
        <w:rPr>
          <w:b/>
          <w:bCs/>
          <w:color w:val="1F3864" w:themeColor="accent5" w:themeShade="80"/>
          <w:sz w:val="24"/>
          <w:szCs w:val="24"/>
        </w:rPr>
        <w:t xml:space="preserve"> Huang</w:t>
      </w:r>
    </w:p>
    <w:p w14:paraId="698875EE" w14:textId="60A8447D" w:rsidR="00637F50" w:rsidRPr="0074385A" w:rsidRDefault="00455693" w:rsidP="00E37220">
      <w:pPr>
        <w:outlineLvl w:val="0"/>
        <w:rPr>
          <w:b/>
          <w:bCs/>
          <w:color w:val="1F3864" w:themeColor="accent5" w:themeShade="80"/>
          <w:sz w:val="24"/>
          <w:szCs w:val="24"/>
        </w:rPr>
      </w:pPr>
      <w:r w:rsidRPr="0074385A">
        <w:rPr>
          <w:b/>
          <w:bCs/>
          <w:color w:val="1F3864" w:themeColor="accent5" w:themeShade="80"/>
          <w:sz w:val="24"/>
          <w:szCs w:val="24"/>
        </w:rPr>
        <w:t xml:space="preserve">Senior Analyst: </w:t>
      </w:r>
      <w:r w:rsidR="007B4D24">
        <w:rPr>
          <w:b/>
          <w:bCs/>
          <w:color w:val="1F3864" w:themeColor="accent5" w:themeShade="80"/>
          <w:sz w:val="24"/>
          <w:szCs w:val="24"/>
        </w:rPr>
        <w:t>Megan Peters</w:t>
      </w:r>
      <w:r w:rsidR="00752127">
        <w:rPr>
          <w:b/>
          <w:bCs/>
          <w:color w:val="1F3864" w:themeColor="accent5" w:themeShade="80"/>
          <w:sz w:val="24"/>
          <w:szCs w:val="24"/>
        </w:rPr>
        <w:t>o</w:t>
      </w:r>
      <w:r w:rsidR="007B4D24">
        <w:rPr>
          <w:b/>
          <w:bCs/>
          <w:color w:val="1F3864" w:themeColor="accent5" w:themeShade="80"/>
          <w:sz w:val="24"/>
          <w:szCs w:val="24"/>
        </w:rPr>
        <w:t>n</w:t>
      </w:r>
    </w:p>
    <w:p w14:paraId="14977DED" w14:textId="77777777" w:rsidR="00F96A4C" w:rsidRDefault="00455693" w:rsidP="00E37220">
      <w:pPr>
        <w:outlineLvl w:val="0"/>
        <w:rPr>
          <w:b/>
          <w:bCs/>
          <w:color w:val="1F3864" w:themeColor="accent5" w:themeShade="80"/>
          <w:sz w:val="24"/>
          <w:szCs w:val="24"/>
        </w:rPr>
      </w:pPr>
      <w:r w:rsidRPr="0074385A">
        <w:rPr>
          <w:b/>
          <w:bCs/>
          <w:color w:val="1F3864" w:themeColor="accent5" w:themeShade="80"/>
          <w:sz w:val="24"/>
          <w:szCs w:val="24"/>
        </w:rPr>
        <w:t xml:space="preserve">Ticker: </w:t>
      </w:r>
      <w:r w:rsidR="00F96A4C">
        <w:rPr>
          <w:b/>
          <w:bCs/>
          <w:color w:val="1F3864" w:themeColor="accent5" w:themeShade="80"/>
          <w:sz w:val="24"/>
          <w:szCs w:val="24"/>
        </w:rPr>
        <w:t>SPGI</w:t>
      </w:r>
    </w:p>
    <w:p w14:paraId="6E915B6A" w14:textId="28AA5255" w:rsidR="00455693" w:rsidRPr="0074385A" w:rsidRDefault="0074385A" w:rsidP="00E37220">
      <w:pPr>
        <w:outlineLvl w:val="0"/>
        <w:rPr>
          <w:b/>
          <w:bCs/>
          <w:color w:val="1F3864" w:themeColor="accent5" w:themeShade="80"/>
          <w:sz w:val="24"/>
          <w:szCs w:val="24"/>
        </w:rPr>
      </w:pPr>
      <w:r>
        <w:rPr>
          <w:b/>
          <w:bCs/>
          <w:noProof/>
          <w:color w:val="5B9BD5" w:themeColor="accent1"/>
          <w:sz w:val="32"/>
          <w:szCs w:val="32"/>
        </w:rPr>
        <mc:AlternateContent>
          <mc:Choice Requires="wps">
            <w:drawing>
              <wp:anchor distT="0" distB="0" distL="114300" distR="114300" simplePos="0" relativeHeight="251651584" behindDoc="0" locked="0" layoutInCell="1" allowOverlap="1" wp14:anchorId="62B5E935" wp14:editId="6372F26E">
                <wp:simplePos x="0" y="0"/>
                <wp:positionH relativeFrom="column">
                  <wp:posOffset>33583</wp:posOffset>
                </wp:positionH>
                <wp:positionV relativeFrom="paragraph">
                  <wp:posOffset>239797</wp:posOffset>
                </wp:positionV>
                <wp:extent cx="5969000" cy="82550"/>
                <wp:effectExtent l="0" t="0" r="0" b="0"/>
                <wp:wrapNone/>
                <wp:docPr id="7" name="Rectangle 7"/>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w:pict w14:anchorId="5BB940B3">
              <v:rect id="Rectangle 7" style="position:absolute;margin-left:2.65pt;margin-top:18.9pt;width:470pt;height: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d="f" strokeweight="1pt" w14:anchorId="7CE09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"/>
            </w:pict>
          </mc:Fallback>
        </mc:AlternateContent>
      </w:r>
      <w:r w:rsidR="00455693" w:rsidRPr="0074385A">
        <w:rPr>
          <w:b/>
          <w:bCs/>
          <w:color w:val="1F3864" w:themeColor="accent5" w:themeShade="80"/>
          <w:sz w:val="24"/>
          <w:szCs w:val="24"/>
        </w:rPr>
        <w:t xml:space="preserve">Current Stock Price: </w:t>
      </w:r>
      <w:r w:rsidR="003B2A30">
        <w:rPr>
          <w:b/>
          <w:bCs/>
          <w:color w:val="1F3864" w:themeColor="accent5" w:themeShade="80"/>
          <w:sz w:val="24"/>
          <w:szCs w:val="24"/>
        </w:rPr>
        <w:t>$</w:t>
      </w:r>
      <w:r w:rsidR="00F96A4C">
        <w:rPr>
          <w:b/>
          <w:bCs/>
          <w:color w:val="1F3864" w:themeColor="accent5" w:themeShade="80"/>
          <w:sz w:val="24"/>
          <w:szCs w:val="24"/>
        </w:rPr>
        <w:t>341.57</w:t>
      </w:r>
    </w:p>
    <w:p w14:paraId="53C48948" w14:textId="2131ED13" w:rsidR="00E16DE9" w:rsidRPr="002354F1" w:rsidRDefault="004813CA" w:rsidP="0074385A">
      <w:pPr>
        <w:rPr>
          <w:b/>
          <w:bCs/>
          <w:color w:val="A70D01"/>
          <w:sz w:val="32"/>
          <w:szCs w:val="32"/>
        </w:rPr>
      </w:pPr>
      <w:r w:rsidRPr="002354F1">
        <w:rPr>
          <w:b/>
          <w:bCs/>
          <w:color w:val="A70D01"/>
          <w:sz w:val="36"/>
          <w:szCs w:val="36"/>
        </w:rPr>
        <w:t xml:space="preserve">Introduction: </w:t>
      </w:r>
      <w:r w:rsidR="00F02BBB" w:rsidRPr="002354F1">
        <w:rPr>
          <w:b/>
          <w:bCs/>
          <w:color w:val="A70D01"/>
          <w:sz w:val="36"/>
          <w:szCs w:val="36"/>
        </w:rPr>
        <w:t xml:space="preserve">    </w:t>
      </w:r>
    </w:p>
    <w:p w14:paraId="71BE33B5" w14:textId="795459AE" w:rsidR="00EB554D" w:rsidRDefault="00F96A4C" w:rsidP="00EB554D">
      <w:bookmarkStart w:id="0" w:name="_Hlk57458600"/>
      <w:r w:rsidRPr="00F96A4C">
        <w:t>S&amp;P Global, Inc.</w:t>
      </w:r>
      <w:bookmarkEnd w:id="0"/>
      <w:r w:rsidRPr="00F96A4C">
        <w:t xml:space="preserve"> engages in the provision of transparent and independent ratings, benchmarks, analytics and data to the capital and commodity markets worldwide. It operates through the following segments: Ratings, Market Intelligence, Platts and Indices. The Ratings segment offers credit ratings, research, and analytics to investors, issuers, and other market participants. The Market Intelligence provides multi-asset-class data, </w:t>
      </w:r>
      <w:proofErr w:type="gramStart"/>
      <w:r w:rsidRPr="00F96A4C">
        <w:t>research</w:t>
      </w:r>
      <w:proofErr w:type="gramEnd"/>
      <w:r w:rsidRPr="00F96A4C">
        <w:t xml:space="preserve"> and analytical capabilities, which integrate cross-asset analytics and desktop services. The Platts segment provides information and benchmark prices for the commodity and energy markets. The Indices segment provides variety of valuation and index benchmarks for investment advisors, wealth managers and institutional investors. The company was founded by James H. McGraw and John A. Hill in 1917 and is headquartered in New York, NY.</w:t>
      </w:r>
      <w:r w:rsidR="00EB554D">
        <w:rPr>
          <w:b/>
          <w:bCs/>
          <w:noProof/>
          <w:color w:val="5B9BD5" w:themeColor="accent1"/>
          <w:sz w:val="32"/>
          <w:szCs w:val="32"/>
        </w:rPr>
        <mc:AlternateContent>
          <mc:Choice Requires="wps">
            <w:drawing>
              <wp:anchor distT="0" distB="0" distL="114300" distR="114300" simplePos="0" relativeHeight="251654656" behindDoc="0" locked="0" layoutInCell="1" allowOverlap="1" wp14:anchorId="7F5A44BB" wp14:editId="75B2B266">
                <wp:simplePos x="0" y="0"/>
                <wp:positionH relativeFrom="column">
                  <wp:posOffset>-40005</wp:posOffset>
                </wp:positionH>
                <wp:positionV relativeFrom="paragraph">
                  <wp:posOffset>2251075</wp:posOffset>
                </wp:positionV>
                <wp:extent cx="5969000" cy="82550"/>
                <wp:effectExtent l="0" t="0" r="0" b="0"/>
                <wp:wrapNone/>
                <wp:docPr id="10" name="Rectangle 10"/>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w:pict w14:anchorId="6FF58066">
              <v:rect id="Rectangle 10" style="position:absolute;margin-left:-3.15pt;margin-top:177.25pt;width:470pt;height: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d="f" strokeweight="1pt" w14:anchorId="55F8C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"/>
            </w:pict>
          </mc:Fallback>
        </mc:AlternateContent>
      </w:r>
      <w:r w:rsidR="00EB554D" w:rsidRPr="000959E0">
        <w:t xml:space="preserve"> </w:t>
      </w:r>
      <w:r w:rsidRPr="00F96A4C">
        <w:t>Its primary areas of business are financial information and analytics. It is the parent company of S&amp;P Global Ratings, S&amp;P Global Market Intelligence, and S&amp;P Global Platts, CRISIL, and is the majority owner of the S&amp;P Dow Jones Indices joint venture. "S&amp;P" is a shortening of "Standard and Poor's".</w:t>
      </w:r>
    </w:p>
    <w:p w14:paraId="07E800EF" w14:textId="29A1164B" w:rsidR="00761062" w:rsidRPr="00D74C92" w:rsidRDefault="00897D04" w:rsidP="002354F1">
      <w:pPr>
        <w:rPr>
          <w:b/>
          <w:bCs/>
          <w:color w:val="1F3864" w:themeColor="accent5" w:themeShade="80"/>
          <w:sz w:val="36"/>
          <w:szCs w:val="36"/>
        </w:rPr>
      </w:pPr>
      <w:r>
        <w:rPr>
          <w:noProof/>
        </w:rPr>
        <w:drawing>
          <wp:anchor distT="0" distB="0" distL="114300" distR="114300" simplePos="0" relativeHeight="251660800" behindDoc="0" locked="0" layoutInCell="1" allowOverlap="1" wp14:anchorId="6FD82D99" wp14:editId="72ECD020">
            <wp:simplePos x="0" y="0"/>
            <wp:positionH relativeFrom="column">
              <wp:posOffset>3309620</wp:posOffset>
            </wp:positionH>
            <wp:positionV relativeFrom="paragraph">
              <wp:posOffset>282575</wp:posOffset>
            </wp:positionV>
            <wp:extent cx="2771140" cy="16173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71140" cy="1617345"/>
                    </a:xfrm>
                    <a:prstGeom prst="rect">
                      <a:avLst/>
                    </a:prstGeom>
                  </pic:spPr>
                </pic:pic>
              </a:graphicData>
            </a:graphic>
            <wp14:sizeRelH relativeFrom="page">
              <wp14:pctWidth>0</wp14:pctWidth>
            </wp14:sizeRelH>
            <wp14:sizeRelV relativeFrom="page">
              <wp14:pctHeight>0</wp14:pctHeight>
            </wp14:sizeRelV>
          </wp:anchor>
        </w:drawing>
      </w:r>
      <w:r w:rsidR="00DD4D8C">
        <w:rPr>
          <w:noProof/>
        </w:rPr>
        <w:drawing>
          <wp:anchor distT="0" distB="0" distL="114300" distR="114300" simplePos="0" relativeHeight="251655680" behindDoc="1" locked="0" layoutInCell="1" allowOverlap="1" wp14:anchorId="72D91F68" wp14:editId="23E10773">
            <wp:simplePos x="0" y="0"/>
            <wp:positionH relativeFrom="margin">
              <wp:posOffset>161925</wp:posOffset>
            </wp:positionH>
            <wp:positionV relativeFrom="paragraph">
              <wp:posOffset>335280</wp:posOffset>
            </wp:positionV>
            <wp:extent cx="2657475" cy="1567180"/>
            <wp:effectExtent l="0" t="0" r="9525" b="0"/>
            <wp:wrapTight wrapText="bothSides">
              <wp:wrapPolygon edited="0">
                <wp:start x="0" y="0"/>
                <wp:lineTo x="0" y="21267"/>
                <wp:lineTo x="21523" y="21267"/>
                <wp:lineTo x="215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57475" cy="1567180"/>
                    </a:xfrm>
                    <a:prstGeom prst="rect">
                      <a:avLst/>
                    </a:prstGeom>
                  </pic:spPr>
                </pic:pic>
              </a:graphicData>
            </a:graphic>
            <wp14:sizeRelH relativeFrom="margin">
              <wp14:pctWidth>0</wp14:pctWidth>
            </wp14:sizeRelH>
            <wp14:sizeRelV relativeFrom="margin">
              <wp14:pctHeight>0</wp14:pctHeight>
            </wp14:sizeRelV>
          </wp:anchor>
        </w:drawing>
      </w:r>
      <w:r w:rsidR="00E16DE9">
        <w:rPr>
          <w:b/>
          <w:bCs/>
          <w:color w:val="1F3864" w:themeColor="accent5" w:themeShade="80"/>
          <w:sz w:val="36"/>
          <w:szCs w:val="36"/>
        </w:rPr>
        <w:t xml:space="preserve"> </w:t>
      </w:r>
      <w:r w:rsidR="00F50039" w:rsidRPr="002354F1">
        <w:rPr>
          <w:b/>
          <w:bCs/>
          <w:color w:val="C00000"/>
          <w:sz w:val="36"/>
          <w:szCs w:val="36"/>
        </w:rPr>
        <w:t>Revenue</w:t>
      </w:r>
      <w:r w:rsidR="00761062" w:rsidRPr="002354F1">
        <w:rPr>
          <w:b/>
          <w:bCs/>
          <w:color w:val="C00000"/>
          <w:sz w:val="36"/>
          <w:szCs w:val="36"/>
        </w:rPr>
        <w:t>:</w:t>
      </w:r>
    </w:p>
    <w:p w14:paraId="4F06357A" w14:textId="276C6AEF" w:rsidR="00E02AC8" w:rsidRDefault="00D74C92">
      <w:r>
        <w:t xml:space="preserve">            </w:t>
      </w:r>
      <w:r w:rsidR="005C12A3">
        <w:t xml:space="preserve">   </w:t>
      </w:r>
    </w:p>
    <w:p w14:paraId="680032E3" w14:textId="5524CE76" w:rsidR="00E16DE9" w:rsidRDefault="00E16DE9"/>
    <w:p w14:paraId="0F5779A5" w14:textId="77777777" w:rsidR="00E16DE9" w:rsidRDefault="00E16DE9"/>
    <w:p w14:paraId="29E25B3A" w14:textId="77777777" w:rsidR="00E16DE9" w:rsidRDefault="00E16DE9"/>
    <w:p w14:paraId="6BD280F5" w14:textId="77777777" w:rsidR="00E16DE9" w:rsidRDefault="00E16DE9"/>
    <w:p w14:paraId="36EEE7B2" w14:textId="77777777" w:rsidR="00DE3BEE" w:rsidRDefault="00DE3BEE"/>
    <w:p w14:paraId="3AF56046" w14:textId="77777777" w:rsidR="00A839A3" w:rsidRPr="00A839A3" w:rsidRDefault="00A839A3" w:rsidP="00A839A3">
      <w:pPr>
        <w:rPr>
          <w:rFonts w:ascii="Calibri" w:hAnsi="Calibri" w:cs="Calibri"/>
        </w:rPr>
      </w:pPr>
      <w:r w:rsidRPr="00A839A3">
        <w:rPr>
          <w:rFonts w:ascii="Calibri" w:hAnsi="Calibri" w:cs="Calibri"/>
        </w:rPr>
        <w:t xml:space="preserve">The first graph indicates that S&amp;P Global, Inc. divides their business into four main segments. The most important part is ratings. In addition, S&amp;P Global, Inc. plays 80% of rating market share, which provide an opinion about the solvency of an issuer and try to measure its possibilities </w:t>
      </w:r>
      <w:proofErr w:type="spellStart"/>
      <w:r w:rsidRPr="00A839A3">
        <w:rPr>
          <w:rFonts w:ascii="Calibri" w:hAnsi="Calibri" w:cs="Calibri"/>
        </w:rPr>
        <w:t>t</w:t>
      </w:r>
      <w:proofErr w:type="spellEnd"/>
      <w:r w:rsidRPr="00A839A3">
        <w:rPr>
          <w:rFonts w:ascii="Calibri" w:hAnsi="Calibri" w:cs="Calibri"/>
        </w:rPr>
        <w:t xml:space="preserve"> repay the debt. This segment grew from 2883 million to 3106 million by 7.7% from 2018 to 2019. The market intelligence covers 29% of S&amp;P Global, Inc.’s business. Indices plays 13% of S&amp;P Global, Inc. revenue. The </w:t>
      </w:r>
      <w:proofErr w:type="spellStart"/>
      <w:r w:rsidRPr="00A839A3">
        <w:rPr>
          <w:rFonts w:ascii="Calibri" w:hAnsi="Calibri" w:cs="Calibri"/>
        </w:rPr>
        <w:t>platts</w:t>
      </w:r>
      <w:proofErr w:type="spellEnd"/>
      <w:r w:rsidRPr="00A839A3">
        <w:rPr>
          <w:rFonts w:ascii="Calibri" w:hAnsi="Calibri" w:cs="Calibri"/>
        </w:rPr>
        <w:t xml:space="preserve"> plays 12% of the revenue which most come from digital subscriptions. Although financial sector of the market was affected this year, but the highlight of p S&amp;P Global, Inc proves that they remain in a better position. Three quarters of 2020 has already made 5.8 billion net revenue in 2020. We could expect a </w:t>
      </w:r>
      <w:r w:rsidRPr="00A839A3">
        <w:rPr>
          <w:rFonts w:ascii="Calibri" w:hAnsi="Calibri" w:cs="Calibri"/>
        </w:rPr>
        <w:lastRenderedPageBreak/>
        <w:t>better result in 2020 under the COVID-19 situation comparing 2019.From prediction, we may see a 12.6% increase of revenue in the whole year 2020.</w:t>
      </w:r>
    </w:p>
    <w:p w14:paraId="7D4014BF" w14:textId="7A3ADB90" w:rsidR="00D41DA7" w:rsidRPr="002354F1" w:rsidRDefault="002A32EF" w:rsidP="002354F1">
      <w:pPr>
        <w:rPr>
          <w:b/>
          <w:bCs/>
          <w:color w:val="C00000"/>
          <w:sz w:val="36"/>
          <w:szCs w:val="36"/>
        </w:rPr>
      </w:pPr>
      <w:r>
        <w:rPr>
          <w:b/>
          <w:bCs/>
          <w:noProof/>
          <w:color w:val="5B9BD5" w:themeColor="accent1"/>
          <w:sz w:val="32"/>
          <w:szCs w:val="32"/>
        </w:rPr>
        <mc:AlternateContent>
          <mc:Choice Requires="wps">
            <w:drawing>
              <wp:anchor distT="0" distB="0" distL="114300" distR="114300" simplePos="0" relativeHeight="251664896" behindDoc="0" locked="0" layoutInCell="1" allowOverlap="1" wp14:anchorId="2E01F9C5" wp14:editId="534DC351">
                <wp:simplePos x="0" y="0"/>
                <wp:positionH relativeFrom="margin">
                  <wp:align>left</wp:align>
                </wp:positionH>
                <wp:positionV relativeFrom="paragraph">
                  <wp:posOffset>-64296</wp:posOffset>
                </wp:positionV>
                <wp:extent cx="5969000" cy="82550"/>
                <wp:effectExtent l="0" t="0" r="0" b="0"/>
                <wp:wrapNone/>
                <wp:docPr id="40" name="Rectangle 40"/>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w:pict w14:anchorId="266EDA99">
              <v:rect id="Rectangle 40" style="position:absolute;margin-left:0;margin-top:-5.05pt;width:470pt;height:6.5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lack [3213]" stroked="f" strokeweight="1pt" w14:anchorId="1DE13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">
                <w10:wrap anchorx="margin"/>
              </v:rect>
            </w:pict>
          </mc:Fallback>
        </mc:AlternateContent>
      </w:r>
      <w:r>
        <w:rPr>
          <w:b/>
          <w:bCs/>
          <w:color w:val="1F3864" w:themeColor="accent5" w:themeShade="80"/>
          <w:sz w:val="36"/>
          <w:szCs w:val="36"/>
        </w:rPr>
        <w:t xml:space="preserve"> </w:t>
      </w:r>
      <w:r w:rsidR="00D41DA7" w:rsidRPr="002354F1">
        <w:rPr>
          <w:b/>
          <w:bCs/>
          <w:color w:val="C00000"/>
          <w:sz w:val="36"/>
          <w:szCs w:val="36"/>
        </w:rPr>
        <w:t xml:space="preserve">Investment Thesis: </w:t>
      </w:r>
    </w:p>
    <w:p w14:paraId="07898D47" w14:textId="77777777" w:rsidR="005A30BA" w:rsidRPr="002354F1" w:rsidRDefault="005A30BA" w:rsidP="00E37220">
      <w:pPr>
        <w:outlineLvl w:val="0"/>
        <w:rPr>
          <w:b/>
          <w:bCs/>
          <w:color w:val="FF0000"/>
          <w:sz w:val="24"/>
          <w:szCs w:val="24"/>
        </w:rPr>
      </w:pPr>
      <w:r w:rsidRPr="002354F1">
        <w:rPr>
          <w:b/>
          <w:bCs/>
          <w:color w:val="FF0000"/>
          <w:sz w:val="24"/>
          <w:szCs w:val="24"/>
        </w:rPr>
        <w:t xml:space="preserve">Benefits from COVID </w:t>
      </w:r>
    </w:p>
    <w:p w14:paraId="0ED3D219" w14:textId="7D394B6C" w:rsidR="005A30BA" w:rsidRDefault="00C66294" w:rsidP="00E37220">
      <w:pPr>
        <w:outlineLvl w:val="0"/>
      </w:pPr>
      <w:r w:rsidRPr="00C66294">
        <w:t xml:space="preserve">I would like to put this investment thesis: reducing the effect in the first place. The COVID-19 crisis is a first-order effect that is driving great uncertainty about the timing of an economic restart. </w:t>
      </w:r>
      <w:r w:rsidR="005A30BA" w:rsidRPr="005A30BA">
        <w:t xml:space="preserve">The market plunged during the COVID-19 pandemic because economic activity came to a screeching halt and investors worried that companies </w:t>
      </w:r>
      <w:proofErr w:type="gramStart"/>
      <w:r w:rsidR="005A30BA" w:rsidRPr="005A30BA">
        <w:t>wouldn't</w:t>
      </w:r>
      <w:proofErr w:type="gramEnd"/>
      <w:r w:rsidR="005A30BA" w:rsidRPr="005A30BA">
        <w:t xml:space="preserve"> have enough money to keep the lights on during the lockdown. But we are surprising to see that S&amp;P Global performed better than other financial sectors’ companies. In 2020, companies have turned to the bond market to raise cash in group. This has been a huge boost to S&amp;P Global, which is one of the largest credit rating </w:t>
      </w:r>
      <w:r w:rsidR="002354F1">
        <w:rPr>
          <w:rFonts w:hint="eastAsia"/>
          <w:lang w:eastAsia="zh-CN"/>
        </w:rPr>
        <w:t>company</w:t>
      </w:r>
      <w:r w:rsidR="002354F1">
        <w:t xml:space="preserve">, covers almost 60-70% of the rating market. </w:t>
      </w:r>
      <w:r w:rsidR="005A30BA" w:rsidRPr="005A30BA">
        <w:t xml:space="preserve">S&amp;P </w:t>
      </w:r>
      <w:proofErr w:type="spellStart"/>
      <w:r w:rsidR="005A30BA" w:rsidRPr="005A30BA">
        <w:t>Global's</w:t>
      </w:r>
      <w:proofErr w:type="spellEnd"/>
      <w:r w:rsidR="005A30BA" w:rsidRPr="005A30BA">
        <w:t xml:space="preserve"> credit rating business is a high-moat asset.  The barriers to entry are </w:t>
      </w:r>
      <w:proofErr w:type="gramStart"/>
      <w:r w:rsidR="005A30BA" w:rsidRPr="005A30BA">
        <w:t>fairly low</w:t>
      </w:r>
      <w:proofErr w:type="gramEnd"/>
      <w:r w:rsidR="005A30BA" w:rsidRPr="005A30BA">
        <w:t xml:space="preserve"> -- it's not hard to hire financial analysts to rate bonds -- but bond issuers hire S&amp;P Global because it has a strong brand in the financial services industry and therefore investors and issuers trust the company's ratings more than a less well-known ratings company. Moody's enjoys a similar competitive advantage with its credit ratings brand, and it would be really tough to establish a </w:t>
      </w:r>
      <w:proofErr w:type="gramStart"/>
      <w:r w:rsidR="005A30BA" w:rsidRPr="005A30BA">
        <w:t>brand new</w:t>
      </w:r>
      <w:proofErr w:type="gramEnd"/>
      <w:r w:rsidR="005A30BA" w:rsidRPr="005A30BA">
        <w:t xml:space="preserve"> credit ratings firm and compete with either company.</w:t>
      </w:r>
    </w:p>
    <w:p w14:paraId="6BB4FA74" w14:textId="46863073" w:rsidR="00E20DBF" w:rsidRPr="002354F1" w:rsidRDefault="005A30BA" w:rsidP="00E37220">
      <w:pPr>
        <w:outlineLvl w:val="0"/>
        <w:rPr>
          <w:b/>
          <w:bCs/>
          <w:color w:val="FF0000"/>
          <w:sz w:val="24"/>
          <w:szCs w:val="24"/>
        </w:rPr>
      </w:pPr>
      <w:r w:rsidRPr="002354F1">
        <w:rPr>
          <w:b/>
          <w:bCs/>
          <w:color w:val="FF0000"/>
          <w:sz w:val="24"/>
          <w:szCs w:val="24"/>
        </w:rPr>
        <w:t>Taking Tech Advance</w:t>
      </w:r>
    </w:p>
    <w:p w14:paraId="14B08CC3" w14:textId="00F72A70" w:rsidR="00777871" w:rsidRPr="00777871" w:rsidRDefault="00777871" w:rsidP="00777871">
      <w:pPr>
        <w:widowControl w:val="0"/>
        <w:contextualSpacing/>
        <w:jc w:val="both"/>
        <w:rPr>
          <w:rFonts w:ascii="Calibri" w:eastAsia="DengXian" w:hAnsi="Calibri" w:cs="Calibri"/>
          <w:lang w:eastAsia="zh-CN"/>
        </w:rPr>
      </w:pPr>
      <w:proofErr w:type="gramStart"/>
      <w:r w:rsidRPr="00777871">
        <w:rPr>
          <w:rFonts w:ascii="Calibri" w:eastAsia="DengXian" w:hAnsi="Calibri" w:cs="Calibri"/>
          <w:lang w:eastAsia="zh-CN"/>
        </w:rPr>
        <w:t>In order to</w:t>
      </w:r>
      <w:proofErr w:type="gramEnd"/>
      <w:r w:rsidRPr="00777871">
        <w:rPr>
          <w:rFonts w:ascii="Calibri" w:eastAsia="DengXian" w:hAnsi="Calibri" w:cs="Calibri"/>
          <w:lang w:eastAsia="zh-CN"/>
        </w:rPr>
        <w:t xml:space="preserve"> take the lead of data analysis, S&amp;P Global made an acquisition of </w:t>
      </w:r>
      <w:proofErr w:type="spellStart"/>
      <w:r w:rsidRPr="00777871">
        <w:rPr>
          <w:rFonts w:ascii="Calibri" w:eastAsia="DengXian" w:hAnsi="Calibri" w:cs="Calibri"/>
          <w:lang w:eastAsia="zh-CN"/>
        </w:rPr>
        <w:t>Kensho</w:t>
      </w:r>
      <w:proofErr w:type="spellEnd"/>
      <w:r w:rsidR="002354F1">
        <w:rPr>
          <w:rFonts w:ascii="Calibri" w:eastAsia="DengXian" w:hAnsi="Calibri" w:cs="Calibri"/>
          <w:lang w:eastAsia="zh-CN"/>
        </w:rPr>
        <w:t>, which is an AI platform in order to develop and analyze business information and set up its database.</w:t>
      </w:r>
      <w:r w:rsidRPr="00777871">
        <w:rPr>
          <w:rFonts w:ascii="Calibri" w:eastAsia="DengXian" w:hAnsi="Calibri" w:cs="Calibri"/>
          <w:lang w:eastAsia="zh-CN"/>
        </w:rPr>
        <w:t xml:space="preserve"> “In just a short amount of time, </w:t>
      </w:r>
      <w:proofErr w:type="spellStart"/>
      <w:r w:rsidRPr="00777871">
        <w:rPr>
          <w:rFonts w:ascii="Calibri" w:eastAsia="DengXian" w:hAnsi="Calibri" w:cs="Calibri"/>
          <w:lang w:eastAsia="zh-CN"/>
        </w:rPr>
        <w:t>Kensho’s</w:t>
      </w:r>
      <w:proofErr w:type="spellEnd"/>
      <w:r w:rsidRPr="00777871">
        <w:rPr>
          <w:rFonts w:ascii="Calibri" w:eastAsia="DengXian" w:hAnsi="Calibri" w:cs="Calibri"/>
          <w:lang w:eastAsia="zh-CN"/>
        </w:rPr>
        <w:t xml:space="preserve"> intuitive platforms, sophisticated algorithms and machine learning capabilities have established a wide following throughout Wall Street and the technology world,” S&amp;P global president and CEO Douglas Peterson said in a statement announcing the deal. We could see that the acquisition of </w:t>
      </w:r>
      <w:proofErr w:type="spellStart"/>
      <w:r w:rsidRPr="00777871">
        <w:rPr>
          <w:rFonts w:ascii="Calibri" w:eastAsia="DengXian" w:hAnsi="Calibri" w:cs="Calibri"/>
          <w:lang w:eastAsia="zh-CN"/>
        </w:rPr>
        <w:t>Kensho</w:t>
      </w:r>
      <w:proofErr w:type="spellEnd"/>
      <w:r w:rsidRPr="00777871">
        <w:rPr>
          <w:rFonts w:ascii="Calibri" w:eastAsia="DengXian" w:hAnsi="Calibri" w:cs="Calibri"/>
          <w:lang w:eastAsia="zh-CN"/>
        </w:rPr>
        <w:t xml:space="preserve"> will strengthen S&amp;P </w:t>
      </w:r>
      <w:proofErr w:type="spellStart"/>
      <w:r w:rsidRPr="00777871">
        <w:rPr>
          <w:rFonts w:ascii="Calibri" w:eastAsia="DengXian" w:hAnsi="Calibri" w:cs="Calibri"/>
          <w:lang w:eastAsia="zh-CN"/>
        </w:rPr>
        <w:t>Global's</w:t>
      </w:r>
      <w:proofErr w:type="spellEnd"/>
      <w:r w:rsidRPr="00777871">
        <w:rPr>
          <w:rFonts w:ascii="Calibri" w:eastAsia="DengXian" w:hAnsi="Calibri" w:cs="Calibri"/>
          <w:lang w:eastAsia="zh-CN"/>
        </w:rPr>
        <w:t xml:space="preserve"> emerging technology capabilities, enhance its ability to deliver essential, actionable insights that will transform the user experience for its clients, and accelerate efforts to improve efficiency and effectiveness of its core internal operations. The successful plan of investing into Fintech company launched in 2017 has given S&amp;P Global more database and space to maintain their lead position in ranking and market intelligence.</w:t>
      </w:r>
    </w:p>
    <w:p w14:paraId="1E902930" w14:textId="77777777" w:rsidR="00C50F04" w:rsidRPr="00C50F04" w:rsidRDefault="00C50F04" w:rsidP="00C50F04">
      <w:pPr>
        <w:widowControl w:val="0"/>
        <w:contextualSpacing/>
        <w:jc w:val="both"/>
        <w:rPr>
          <w:rFonts w:ascii="Calibri" w:eastAsia="DengXian" w:hAnsi="Calibri" w:cs="Calibri"/>
          <w:lang w:eastAsia="zh-CN"/>
        </w:rPr>
      </w:pPr>
    </w:p>
    <w:p w14:paraId="2DBBCC4A" w14:textId="064A7FF4" w:rsidR="005429DB" w:rsidRPr="002354F1" w:rsidRDefault="00EC6B88" w:rsidP="00E37220">
      <w:pPr>
        <w:outlineLvl w:val="0"/>
        <w:rPr>
          <w:b/>
          <w:bCs/>
          <w:color w:val="FF0000"/>
          <w:sz w:val="24"/>
          <w:szCs w:val="24"/>
        </w:rPr>
      </w:pPr>
      <w:bookmarkStart w:id="1" w:name="_Hlk57477219"/>
      <w:r w:rsidRPr="002354F1">
        <w:rPr>
          <w:b/>
          <w:bCs/>
          <w:color w:val="FF0000"/>
          <w:sz w:val="24"/>
          <w:szCs w:val="24"/>
        </w:rPr>
        <w:t>Expanding new market</w:t>
      </w:r>
    </w:p>
    <w:bookmarkEnd w:id="1"/>
    <w:p w14:paraId="2F552B26" w14:textId="451D8F40" w:rsidR="00C40CFB" w:rsidRDefault="00C40CFB" w:rsidP="00C40CFB">
      <w:pPr>
        <w:outlineLvl w:val="0"/>
        <w:rPr>
          <w:rFonts w:ascii="Calibri" w:eastAsia="DengXian" w:hAnsi="Calibri" w:cs="Calibri"/>
          <w:lang w:eastAsia="zh-CN"/>
        </w:rPr>
      </w:pPr>
      <w:r w:rsidRPr="00C40CFB">
        <w:rPr>
          <w:rFonts w:ascii="Calibri" w:eastAsia="DengXian" w:hAnsi="Calibri" w:cs="Calibri"/>
          <w:lang w:eastAsia="zh-CN"/>
        </w:rPr>
        <w:t xml:space="preserve">S&amp;P Global has the first wholly owned CRA subsidiary in mainland China. However, Moody’s, which is the mainly competitor of S&amp;P Global in the market, has the 30% of China </w:t>
      </w:r>
      <w:proofErr w:type="spellStart"/>
      <w:r w:rsidRPr="00C40CFB">
        <w:rPr>
          <w:rFonts w:ascii="Calibri" w:eastAsia="DengXian" w:hAnsi="Calibri" w:cs="Calibri"/>
          <w:lang w:eastAsia="zh-CN"/>
        </w:rPr>
        <w:t>Chengxin</w:t>
      </w:r>
      <w:proofErr w:type="spellEnd"/>
      <w:r w:rsidRPr="00C40CFB">
        <w:rPr>
          <w:rFonts w:ascii="Calibri" w:eastAsia="DengXian" w:hAnsi="Calibri" w:cs="Calibri"/>
          <w:lang w:eastAsia="zh-CN"/>
        </w:rPr>
        <w:t xml:space="preserve"> </w:t>
      </w:r>
      <w:proofErr w:type="spellStart"/>
      <w:r w:rsidRPr="00C40CFB">
        <w:rPr>
          <w:rFonts w:ascii="Calibri" w:eastAsia="DengXian" w:hAnsi="Calibri" w:cs="Calibri"/>
          <w:lang w:eastAsia="zh-CN"/>
        </w:rPr>
        <w:t>internation</w:t>
      </w:r>
      <w:proofErr w:type="spellEnd"/>
      <w:r w:rsidRPr="00C40CFB">
        <w:rPr>
          <w:rFonts w:ascii="Calibri" w:eastAsia="DengXian" w:hAnsi="Calibri" w:cs="Calibri"/>
          <w:lang w:eastAsia="zh-CN"/>
        </w:rPr>
        <w:t xml:space="preserve"> Credit Rating Co. So, as S&amp;P Global has been approved to open their rating service in China by People's Bank of China, which is the central bank of mainland China.</w:t>
      </w:r>
      <w:r w:rsidR="002354F1">
        <w:rPr>
          <w:rFonts w:ascii="Calibri" w:eastAsia="DengXian" w:hAnsi="Calibri" w:cs="Calibri"/>
          <w:lang w:eastAsia="zh-CN"/>
        </w:rPr>
        <w:t xml:space="preserve"> As the global trend is going so fast, many American companies are seeking opportunities in a new market, and they would need rating </w:t>
      </w:r>
      <w:proofErr w:type="gramStart"/>
      <w:r w:rsidR="002354F1">
        <w:rPr>
          <w:rFonts w:ascii="Calibri" w:eastAsia="DengXian" w:hAnsi="Calibri" w:cs="Calibri"/>
          <w:lang w:eastAsia="zh-CN"/>
        </w:rPr>
        <w:t>in order to</w:t>
      </w:r>
      <w:proofErr w:type="gramEnd"/>
      <w:r w:rsidR="002354F1">
        <w:rPr>
          <w:rFonts w:ascii="Calibri" w:eastAsia="DengXian" w:hAnsi="Calibri" w:cs="Calibri"/>
          <w:lang w:eastAsia="zh-CN"/>
        </w:rPr>
        <w:t xml:space="preserve"> be legally on Chinese market.</w:t>
      </w:r>
      <w:r w:rsidRPr="00C40CFB">
        <w:rPr>
          <w:rFonts w:ascii="Calibri" w:eastAsia="DengXian" w:hAnsi="Calibri" w:cs="Calibri"/>
          <w:lang w:eastAsia="zh-CN"/>
        </w:rPr>
        <w:t xml:space="preserve"> S&amp;P Global could give a large trustworthy to American companies to has their expansion among Chinese market, which mean a huge opportunity for S&amp;P Global. </w:t>
      </w:r>
    </w:p>
    <w:p w14:paraId="1A0D6451" w14:textId="77777777" w:rsidR="002354F1" w:rsidRPr="00C40CFB" w:rsidRDefault="002354F1" w:rsidP="00C40CFB">
      <w:pPr>
        <w:outlineLvl w:val="0"/>
        <w:rPr>
          <w:rFonts w:ascii="Calibri" w:eastAsia="DengXian" w:hAnsi="Calibri" w:cs="Calibri"/>
          <w:lang w:eastAsia="zh-CN"/>
        </w:rPr>
      </w:pPr>
    </w:p>
    <w:p w14:paraId="78DEC0DF" w14:textId="1F320B4B" w:rsidR="00263155" w:rsidRPr="003C6317" w:rsidRDefault="00EC6B88" w:rsidP="005429DB">
      <w:r>
        <w:rPr>
          <w:b/>
          <w:bCs/>
          <w:noProof/>
          <w:color w:val="5B9BD5" w:themeColor="accent1"/>
          <w:sz w:val="32"/>
          <w:szCs w:val="32"/>
        </w:rPr>
        <w:lastRenderedPageBreak/>
        <mc:AlternateContent>
          <mc:Choice Requires="wps">
            <w:drawing>
              <wp:anchor distT="0" distB="0" distL="114300" distR="114300" simplePos="0" relativeHeight="251652608" behindDoc="0" locked="0" layoutInCell="1" allowOverlap="1" wp14:anchorId="501F045C" wp14:editId="5486D2B1">
                <wp:simplePos x="0" y="0"/>
                <wp:positionH relativeFrom="margin">
                  <wp:align>left</wp:align>
                </wp:positionH>
                <wp:positionV relativeFrom="paragraph">
                  <wp:posOffset>103505</wp:posOffset>
                </wp:positionV>
                <wp:extent cx="5969000" cy="82550"/>
                <wp:effectExtent l="0" t="0" r="0" b="0"/>
                <wp:wrapNone/>
                <wp:docPr id="5" name="Rectangle 5"/>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w:pict w14:anchorId="1D63FFD5">
              <v:rect id="Rectangle 5" style="position:absolute;margin-left:0;margin-top:8.15pt;width:470pt;height:6.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lack [3213]" stroked="f" strokeweight="1pt" w14:anchorId="5913A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">
                <w10:wrap anchorx="margin"/>
              </v:rect>
            </w:pict>
          </mc:Fallback>
        </mc:AlternateContent>
      </w:r>
    </w:p>
    <w:p w14:paraId="3648E49B" w14:textId="1E20272D" w:rsidR="00E22247" w:rsidRPr="002354F1" w:rsidRDefault="00A17783" w:rsidP="0027420D">
      <w:pPr>
        <w:rPr>
          <w:b/>
          <w:bCs/>
          <w:color w:val="C00000"/>
          <w:sz w:val="36"/>
          <w:szCs w:val="36"/>
        </w:rPr>
      </w:pPr>
      <w:r w:rsidRPr="002354F1">
        <w:rPr>
          <w:b/>
          <w:bCs/>
          <w:color w:val="C00000"/>
          <w:sz w:val="36"/>
          <w:szCs w:val="36"/>
        </w:rPr>
        <w:t xml:space="preserve">Valuation: </w:t>
      </w:r>
    </w:p>
    <w:p w14:paraId="5106CB02" w14:textId="56DF64CC" w:rsidR="00BC1F60" w:rsidRPr="002354F1" w:rsidRDefault="00974118" w:rsidP="00E37220">
      <w:pPr>
        <w:outlineLvl w:val="0"/>
        <w:rPr>
          <w:color w:val="FF0000"/>
        </w:rPr>
      </w:pPr>
      <w:r w:rsidRPr="002354F1">
        <w:rPr>
          <w:b/>
          <w:bCs/>
          <w:color w:val="FF0000"/>
          <w:sz w:val="24"/>
          <w:szCs w:val="24"/>
        </w:rPr>
        <w:t>Dividend Discount Model</w:t>
      </w:r>
    </w:p>
    <w:p w14:paraId="002C6DDC" w14:textId="78F9B562" w:rsidR="00257464" w:rsidRPr="00257464" w:rsidRDefault="00257464" w:rsidP="00257464">
      <w:pPr>
        <w:widowControl w:val="0"/>
        <w:spacing w:line="240" w:lineRule="auto"/>
        <w:jc w:val="both"/>
        <w:rPr>
          <w:rFonts w:ascii="Calibri" w:eastAsia="DengXian" w:hAnsi="Calibri" w:cs="Calibri"/>
          <w:lang w:eastAsia="zh-CN"/>
        </w:rPr>
      </w:pPr>
      <w:proofErr w:type="gramStart"/>
      <w:r w:rsidRPr="00257464">
        <w:rPr>
          <w:rFonts w:ascii="Calibri" w:eastAsia="DengXian" w:hAnsi="Calibri" w:cs="Calibri"/>
          <w:lang w:eastAsia="zh-CN"/>
        </w:rPr>
        <w:t>In order to</w:t>
      </w:r>
      <w:proofErr w:type="gramEnd"/>
      <w:r w:rsidRPr="00257464">
        <w:rPr>
          <w:rFonts w:ascii="Calibri" w:eastAsia="DengXian" w:hAnsi="Calibri" w:cs="Calibri"/>
          <w:lang w:eastAsia="zh-CN"/>
        </w:rPr>
        <w:t xml:space="preserve"> make a valuation of S&amp;P Global, we would like to first determine its dividend growth trend in the future. From calculation, we could see that </w:t>
      </w:r>
      <w:r w:rsidR="00740F1D">
        <w:rPr>
          <w:rFonts w:ascii="Calibri" w:eastAsia="DengXian" w:hAnsi="Calibri" w:cs="Calibri"/>
          <w:lang w:eastAsia="zh-CN"/>
        </w:rPr>
        <w:t>SPGI</w:t>
      </w:r>
      <w:r w:rsidRPr="00257464">
        <w:rPr>
          <w:rFonts w:ascii="Calibri" w:eastAsia="DengXian" w:hAnsi="Calibri" w:cs="Calibri"/>
          <w:lang w:eastAsia="zh-CN"/>
        </w:rPr>
        <w:t xml:space="preserve"> has an average yearly dividend growth of 16.9% since 2016. From 2019 to 2020, its dividend grew by 17.5%. Given that information, we could see that S&amp;P Global is being healthy and growing at a good pace. It is a good way to determine the current stock value. I</w:t>
      </w:r>
      <w:r w:rsidRPr="00257464">
        <w:rPr>
          <w:rFonts w:ascii="Calibri" w:eastAsia="DengXian" w:hAnsi="Calibri" w:cs="Calibri" w:hint="eastAsia"/>
          <w:lang w:eastAsia="zh-CN"/>
        </w:rPr>
        <w:t>n</w:t>
      </w:r>
      <w:r w:rsidRPr="00257464">
        <w:rPr>
          <w:rFonts w:ascii="Calibri" w:eastAsia="DengXian" w:hAnsi="Calibri" w:cs="Calibri"/>
          <w:lang w:eastAsia="zh-CN"/>
        </w:rPr>
        <w:t xml:space="preserve"> addition, we could see that S&amp;P Global is not really impacted too much by COVID-19. We could expect a great increase after the vaccine come out.</w:t>
      </w:r>
    </w:p>
    <w:p w14:paraId="437F3E67" w14:textId="0D046DDB" w:rsidR="00257464" w:rsidRPr="00257464" w:rsidRDefault="00257464" w:rsidP="00257464">
      <w:pPr>
        <w:widowControl w:val="0"/>
        <w:spacing w:line="240" w:lineRule="auto"/>
        <w:jc w:val="both"/>
        <w:rPr>
          <w:rFonts w:ascii="Calibri" w:eastAsia="DengXian" w:hAnsi="Calibri" w:cs="Calibri"/>
          <w:lang w:eastAsia="zh-CN"/>
        </w:rPr>
      </w:pPr>
      <w:r w:rsidRPr="00257464">
        <w:rPr>
          <w:rFonts w:ascii="Calibri" w:eastAsia="DengXian" w:hAnsi="Calibri" w:cs="Calibri"/>
          <w:lang w:eastAsia="zh-CN"/>
        </w:rPr>
        <w:t>After we analyzed the dividend growth and stock charts of SPGI, we could initially understand that SPGI is not really affected by COVID-19. It performs even better than S&amp;P 500. We would like to assume a 10% growth of 2021 and 2022. And a 18% rate for 2023 and a</w:t>
      </w:r>
      <w:r>
        <w:rPr>
          <w:rFonts w:ascii="Calibri" w:eastAsia="DengXian" w:hAnsi="Calibri" w:cs="Calibri"/>
          <w:lang w:eastAsia="zh-CN"/>
        </w:rPr>
        <w:t>n</w:t>
      </w:r>
      <w:r w:rsidRPr="00257464">
        <w:rPr>
          <w:rFonts w:ascii="Calibri" w:eastAsia="DengXian" w:hAnsi="Calibri" w:cs="Calibri"/>
          <w:lang w:eastAsia="zh-CN"/>
        </w:rPr>
        <w:t xml:space="preserve"> </w:t>
      </w:r>
      <w:r>
        <w:rPr>
          <w:rFonts w:ascii="Calibri" w:eastAsia="DengXian" w:hAnsi="Calibri" w:cs="Calibri"/>
          <w:lang w:eastAsia="zh-CN"/>
        </w:rPr>
        <w:t>8</w:t>
      </w:r>
      <w:r w:rsidRPr="00257464">
        <w:rPr>
          <w:rFonts w:ascii="Calibri" w:eastAsia="DengXian" w:hAnsi="Calibri" w:cs="Calibri"/>
          <w:lang w:eastAsia="zh-CN"/>
        </w:rPr>
        <w:t xml:space="preserve">% of a terminal rate. With the following: </w:t>
      </w:r>
    </w:p>
    <w:p w14:paraId="1647FA55" w14:textId="776E956F" w:rsidR="00621EA8" w:rsidRPr="00E20DBF" w:rsidRDefault="00257464" w:rsidP="00684B15">
      <w:pPr>
        <w:jc w:val="center"/>
      </w:pPr>
      <w:r>
        <w:rPr>
          <w:noProof/>
        </w:rPr>
        <w:drawing>
          <wp:inline distT="0" distB="0" distL="0" distR="0" wp14:anchorId="5E206B86" wp14:editId="2CBA2E2C">
            <wp:extent cx="4243070" cy="20789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4243070" cy="2078990"/>
                    </a:xfrm>
                    <a:prstGeom prst="rect">
                      <a:avLst/>
                    </a:prstGeom>
                  </pic:spPr>
                </pic:pic>
              </a:graphicData>
            </a:graphic>
          </wp:inline>
        </w:drawing>
      </w:r>
    </w:p>
    <w:p w14:paraId="61A842A6" w14:textId="43B42BCF" w:rsidR="00BA4531" w:rsidRDefault="00621EA8" w:rsidP="00A17783">
      <w:r>
        <w:t>Based on these growth rate</w:t>
      </w:r>
      <w:r w:rsidR="002615D2">
        <w:t xml:space="preserve"> estimates, </w:t>
      </w:r>
      <w:r w:rsidR="0083582C">
        <w:t xml:space="preserve">our model produced a price estimate of </w:t>
      </w:r>
      <w:r w:rsidR="008B15A9" w:rsidRPr="002F08C1">
        <w:rPr>
          <w:b/>
        </w:rPr>
        <w:t>$</w:t>
      </w:r>
      <w:r w:rsidR="00257464">
        <w:rPr>
          <w:b/>
        </w:rPr>
        <w:t>526.7</w:t>
      </w:r>
      <w:r w:rsidR="00A22B80">
        <w:t xml:space="preserve"> which </w:t>
      </w:r>
      <w:r w:rsidR="002037E0">
        <w:t xml:space="preserve">creates </w:t>
      </w:r>
      <w:r w:rsidR="00372777">
        <w:t xml:space="preserve">a </w:t>
      </w:r>
      <w:r w:rsidR="00257464">
        <w:rPr>
          <w:b/>
        </w:rPr>
        <w:t>54</w:t>
      </w:r>
      <w:r w:rsidR="008A6980" w:rsidRPr="002F08C1">
        <w:rPr>
          <w:b/>
        </w:rPr>
        <w:t>%</w:t>
      </w:r>
      <w:r w:rsidR="000C09DF" w:rsidRPr="002F08C1">
        <w:rPr>
          <w:b/>
        </w:rPr>
        <w:t xml:space="preserve"> upside</w:t>
      </w:r>
      <w:r w:rsidR="000C09DF">
        <w:t xml:space="preserve"> </w:t>
      </w:r>
      <w:r w:rsidR="003E3ABB">
        <w:t xml:space="preserve">from the current share price of </w:t>
      </w:r>
      <w:r w:rsidR="008B0262">
        <w:t>$</w:t>
      </w:r>
      <w:r w:rsidR="009B7253">
        <w:t>341.57</w:t>
      </w:r>
      <w:r w:rsidR="008B0262">
        <w:t xml:space="preserve">. </w:t>
      </w:r>
    </w:p>
    <w:p w14:paraId="53D7DC1F" w14:textId="66F7F644" w:rsidR="007269F6" w:rsidRDefault="007269F6" w:rsidP="007269F6">
      <w:pPr>
        <w:rPr>
          <w:rFonts w:ascii="Calibri" w:hAnsi="Calibri" w:cs="Calibri"/>
        </w:rPr>
      </w:pPr>
      <w:r>
        <w:rPr>
          <w:rFonts w:ascii="Calibri" w:hAnsi="Calibri" w:cs="Calibri"/>
        </w:rPr>
        <w:t xml:space="preserve">In addition, we would like to see a </w:t>
      </w:r>
      <w:r w:rsidR="00E02680">
        <w:rPr>
          <w:rFonts w:ascii="Calibri" w:hAnsi="Calibri" w:cs="Calibri"/>
        </w:rPr>
        <w:t>NOT VERY GOOD</w:t>
      </w:r>
      <w:r>
        <w:rPr>
          <w:rFonts w:ascii="Calibri" w:hAnsi="Calibri" w:cs="Calibri"/>
        </w:rPr>
        <w:t xml:space="preserve"> growth of </w:t>
      </w:r>
      <w:r w:rsidR="00135ABD">
        <w:rPr>
          <w:rFonts w:ascii="Calibri" w:hAnsi="Calibri" w:cs="Calibri"/>
        </w:rPr>
        <w:t xml:space="preserve">SPGI </w:t>
      </w:r>
      <w:r>
        <w:rPr>
          <w:rFonts w:ascii="Calibri" w:hAnsi="Calibri" w:cs="Calibri"/>
        </w:rPr>
        <w:t xml:space="preserve">stock if the Fed would like to </w:t>
      </w:r>
      <w:r w:rsidR="00135ABD">
        <w:rPr>
          <w:rFonts w:ascii="Calibri" w:hAnsi="Calibri" w:cs="Calibri"/>
        </w:rPr>
        <w:t>keep the low interest rate</w:t>
      </w:r>
      <w:r>
        <w:rPr>
          <w:rFonts w:ascii="Calibri" w:hAnsi="Calibri" w:cs="Calibri"/>
        </w:rPr>
        <w:t xml:space="preserve"> or the government is </w:t>
      </w:r>
      <w:r w:rsidR="00135ABD">
        <w:rPr>
          <w:rFonts w:ascii="Calibri" w:hAnsi="Calibri" w:cs="Calibri"/>
        </w:rPr>
        <w:t>changing some ways</w:t>
      </w:r>
      <w:r>
        <w:rPr>
          <w:rFonts w:ascii="Calibri" w:hAnsi="Calibri" w:cs="Calibri"/>
        </w:rPr>
        <w:t xml:space="preserve"> for finance market for COVID-19 recovery. We determined the rate of 2021 and 2022 to be </w:t>
      </w:r>
      <w:r w:rsidR="003A7B6C">
        <w:rPr>
          <w:rFonts w:ascii="Calibri" w:hAnsi="Calibri" w:cs="Calibri"/>
        </w:rPr>
        <w:t>7</w:t>
      </w:r>
      <w:r>
        <w:rPr>
          <w:rFonts w:ascii="Calibri" w:hAnsi="Calibri" w:cs="Calibri"/>
        </w:rPr>
        <w:t>% and 1</w:t>
      </w:r>
      <w:r w:rsidR="003A7B6C">
        <w:rPr>
          <w:rFonts w:ascii="Calibri" w:hAnsi="Calibri" w:cs="Calibri"/>
        </w:rPr>
        <w:t>3</w:t>
      </w:r>
      <w:r>
        <w:rPr>
          <w:rFonts w:ascii="Calibri" w:hAnsi="Calibri" w:cs="Calibri"/>
        </w:rPr>
        <w:t>% for 2023, 8% as a terminal rate for 2024. Here are the dividends below:</w:t>
      </w:r>
    </w:p>
    <w:p w14:paraId="1D6F3247" w14:textId="56059638" w:rsidR="00954BC1" w:rsidRPr="00E5326A" w:rsidRDefault="007269F6" w:rsidP="00E5326A">
      <w:pPr>
        <w:rPr>
          <w:rFonts w:ascii="Calibri" w:hAnsi="Calibri" w:cs="Calibri"/>
        </w:rPr>
      </w:pPr>
      <w:r>
        <w:rPr>
          <w:noProof/>
        </w:rPr>
        <w:lastRenderedPageBreak/>
        <w:t xml:space="preserve">                                 </w:t>
      </w:r>
      <w:r w:rsidRPr="007269F6">
        <w:rPr>
          <w:noProof/>
        </w:rPr>
        <w:t xml:space="preserve"> </w:t>
      </w:r>
      <w:r w:rsidR="003A7B6C">
        <w:rPr>
          <w:noProof/>
        </w:rPr>
        <w:drawing>
          <wp:inline distT="0" distB="0" distL="0" distR="0" wp14:anchorId="782168DA" wp14:editId="0B93FE33">
            <wp:extent cx="3886200" cy="1889760"/>
            <wp:effectExtent l="0" t="0" r="0" b="15240"/>
            <wp:docPr id="18" name="Chart 18">
              <a:extLst xmlns:a="http://schemas.openxmlformats.org/drawingml/2006/main">
                <a:ext uri="{FF2B5EF4-FFF2-40B4-BE49-F238E27FC236}">
                  <a16:creationId xmlns:a16="http://schemas.microsoft.com/office/drawing/2014/main" id="{74542A0E-238A-4B2A-8F61-C3A4428093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C45414" w14:textId="1E8C1767" w:rsidR="00A17783" w:rsidRDefault="00CD5A8D">
      <w:r w:rsidRPr="00CD5A8D">
        <w:t>With the</w:t>
      </w:r>
      <w:r>
        <w:t xml:space="preserve">se dividend </w:t>
      </w:r>
      <w:r w:rsidR="00845482">
        <w:t xml:space="preserve">estimates, our model produces a current stock price value of </w:t>
      </w:r>
      <w:r w:rsidR="00147645" w:rsidRPr="002F08C1">
        <w:rPr>
          <w:b/>
        </w:rPr>
        <w:t>$</w:t>
      </w:r>
      <w:r w:rsidR="00430B53">
        <w:rPr>
          <w:b/>
        </w:rPr>
        <w:t>477.25</w:t>
      </w:r>
      <w:r w:rsidR="00354D8C">
        <w:t xml:space="preserve"> creating a</w:t>
      </w:r>
      <w:r w:rsidR="009A4215">
        <w:t xml:space="preserve">n </w:t>
      </w:r>
      <w:r w:rsidR="009A4215" w:rsidRPr="002F08C1">
        <w:rPr>
          <w:b/>
        </w:rPr>
        <w:t xml:space="preserve">upside </w:t>
      </w:r>
      <w:r w:rsidR="00354D8C" w:rsidRPr="002F08C1">
        <w:rPr>
          <w:b/>
        </w:rPr>
        <w:t>of</w:t>
      </w:r>
      <w:r w:rsidR="0073525A" w:rsidRPr="002F08C1">
        <w:rPr>
          <w:b/>
        </w:rPr>
        <w:t xml:space="preserve"> </w:t>
      </w:r>
      <w:r w:rsidR="00430B53">
        <w:rPr>
          <w:b/>
        </w:rPr>
        <w:t>39.7</w:t>
      </w:r>
      <w:r w:rsidR="0073525A" w:rsidRPr="002F08C1">
        <w:rPr>
          <w:b/>
        </w:rPr>
        <w:t>%</w:t>
      </w:r>
      <w:r w:rsidR="00CA0887">
        <w:t xml:space="preserve"> </w:t>
      </w:r>
      <w:r w:rsidR="005A1003">
        <w:t>from the current stock price of $</w:t>
      </w:r>
      <w:r w:rsidR="00430B53">
        <w:t>341.57</w:t>
      </w:r>
      <w:r w:rsidR="005A1003">
        <w:t xml:space="preserve">. </w:t>
      </w:r>
    </w:p>
    <w:p w14:paraId="79352F80" w14:textId="6451EAC7" w:rsidR="005A1003" w:rsidRDefault="003532D9">
      <w:r>
        <w:t xml:space="preserve">Through these to valuations, we </w:t>
      </w:r>
      <w:r w:rsidR="00362595">
        <w:t>created</w:t>
      </w:r>
      <w:r>
        <w:t xml:space="preserve"> a stock price value range of </w:t>
      </w:r>
      <w:r w:rsidR="00EF6F5D" w:rsidRPr="002F08C1">
        <w:rPr>
          <w:b/>
        </w:rPr>
        <w:t>$</w:t>
      </w:r>
      <w:r w:rsidR="00430B53">
        <w:rPr>
          <w:b/>
        </w:rPr>
        <w:t>477.25</w:t>
      </w:r>
      <w:r w:rsidR="00EF6F5D" w:rsidRPr="002F08C1">
        <w:rPr>
          <w:b/>
        </w:rPr>
        <w:t xml:space="preserve"> - </w:t>
      </w:r>
      <w:r w:rsidR="003D2C2B" w:rsidRPr="002F08C1">
        <w:rPr>
          <w:b/>
        </w:rPr>
        <w:t>$</w:t>
      </w:r>
      <w:r w:rsidR="00430B53">
        <w:rPr>
          <w:b/>
        </w:rPr>
        <w:t>526.7</w:t>
      </w:r>
      <w:r w:rsidR="00C83D76">
        <w:t xml:space="preserve"> for </w:t>
      </w:r>
      <w:r w:rsidR="00430B53">
        <w:t>SPGI</w:t>
      </w:r>
      <w:r w:rsidR="00407DEA">
        <w:t xml:space="preserve">. </w:t>
      </w:r>
    </w:p>
    <w:p w14:paraId="7A0B8FB0" w14:textId="25D601BE" w:rsidR="00BC1F60" w:rsidRPr="002354F1" w:rsidRDefault="00334CE0" w:rsidP="00E37220">
      <w:pPr>
        <w:outlineLvl w:val="0"/>
        <w:rPr>
          <w:color w:val="FF0000"/>
        </w:rPr>
      </w:pPr>
      <w:r w:rsidRPr="002354F1">
        <w:rPr>
          <w:b/>
          <w:bCs/>
          <w:color w:val="FF0000"/>
          <w:sz w:val="24"/>
          <w:szCs w:val="24"/>
        </w:rPr>
        <w:t>P/E Ratio</w:t>
      </w:r>
      <w:r w:rsidR="00E5326A">
        <w:rPr>
          <w:b/>
          <w:bCs/>
          <w:color w:val="FF0000"/>
          <w:sz w:val="24"/>
          <w:szCs w:val="24"/>
        </w:rPr>
        <w:t xml:space="preserve"> and P/B Ratio</w:t>
      </w:r>
      <w:r w:rsidRPr="002354F1">
        <w:rPr>
          <w:b/>
          <w:bCs/>
          <w:color w:val="FF0000"/>
          <w:sz w:val="24"/>
          <w:szCs w:val="24"/>
        </w:rPr>
        <w:t xml:space="preserve"> Analysis</w:t>
      </w:r>
    </w:p>
    <w:p w14:paraId="09C52747" w14:textId="77777777" w:rsidR="00E5326A" w:rsidRDefault="00DD2EDD" w:rsidP="00E5326A">
      <w:pPr>
        <w:widowControl w:val="0"/>
        <w:spacing w:line="240" w:lineRule="auto"/>
        <w:jc w:val="both"/>
        <w:rPr>
          <w:noProof/>
        </w:rPr>
      </w:pPr>
      <w:r w:rsidRPr="00DD2EDD">
        <w:rPr>
          <w:rFonts w:ascii="Calibri" w:eastAsia="DengXian" w:hAnsi="Calibri" w:cs="Calibri"/>
          <w:lang w:eastAsia="zh-CN"/>
        </w:rPr>
        <w:t xml:space="preserve">In our next valuation, we </w:t>
      </w:r>
      <w:proofErr w:type="gramStart"/>
      <w:r w:rsidRPr="00DD2EDD">
        <w:rPr>
          <w:rFonts w:ascii="Calibri" w:eastAsia="DengXian" w:hAnsi="Calibri" w:cs="Calibri"/>
          <w:lang w:eastAsia="zh-CN"/>
        </w:rPr>
        <w:t>looked into</w:t>
      </w:r>
      <w:proofErr w:type="gramEnd"/>
      <w:r w:rsidRPr="00DD2EDD">
        <w:rPr>
          <w:rFonts w:ascii="Calibri" w:eastAsia="DengXian" w:hAnsi="Calibri" w:cs="Calibri"/>
          <w:lang w:eastAsia="zh-CN"/>
        </w:rPr>
        <w:t xml:space="preserve"> P/E ratio in order to watch how SPGI perform with its competitors. We chose 3 main competitors to compare with SPGI: Morgan Stanley, Goldman Sachs and SPGI’s main market competitor </w:t>
      </w:r>
      <w:proofErr w:type="spellStart"/>
      <w:r w:rsidRPr="00DD2EDD">
        <w:rPr>
          <w:rFonts w:ascii="Calibri" w:eastAsia="DengXian" w:hAnsi="Calibri" w:cs="Calibri"/>
          <w:lang w:eastAsia="zh-CN"/>
        </w:rPr>
        <w:t>Moody’s.Here</w:t>
      </w:r>
      <w:proofErr w:type="spellEnd"/>
      <w:r w:rsidRPr="00DD2EDD">
        <w:rPr>
          <w:rFonts w:ascii="Calibri" w:eastAsia="DengXian" w:hAnsi="Calibri" w:cs="Calibri"/>
          <w:lang w:eastAsia="zh-CN"/>
        </w:rPr>
        <w:t xml:space="preserve"> is the chart that SPGI comparing with other companies:</w:t>
      </w:r>
      <w:r w:rsidR="00E5326A" w:rsidRPr="00E5326A">
        <w:rPr>
          <w:noProof/>
        </w:rPr>
        <w:t xml:space="preserve"> </w:t>
      </w:r>
    </w:p>
    <w:p w14:paraId="45F88268" w14:textId="347864F0" w:rsidR="00D63D2C" w:rsidRPr="00D63D2C" w:rsidRDefault="00E5326A" w:rsidP="00E5326A">
      <w:pPr>
        <w:widowControl w:val="0"/>
        <w:spacing w:line="240" w:lineRule="auto"/>
        <w:jc w:val="center"/>
        <w:rPr>
          <w:rFonts w:ascii="Calibri" w:eastAsia="DengXian" w:hAnsi="Calibri" w:cs="Calibri"/>
          <w:lang w:eastAsia="zh-CN"/>
        </w:rPr>
      </w:pPr>
      <w:r>
        <w:rPr>
          <w:noProof/>
        </w:rPr>
        <w:drawing>
          <wp:inline distT="0" distB="0" distL="0" distR="0" wp14:anchorId="46F48E0A" wp14:editId="2EF9EF06">
            <wp:extent cx="3724275" cy="2272665"/>
            <wp:effectExtent l="0" t="0" r="9525" b="13335"/>
            <wp:docPr id="19" name="Chart 19">
              <a:extLst xmlns:a="http://schemas.openxmlformats.org/drawingml/2006/main">
                <a:ext uri="{FF2B5EF4-FFF2-40B4-BE49-F238E27FC236}">
                  <a16:creationId xmlns:a16="http://schemas.microsoft.com/office/drawing/2014/main" id="{B69C9971-162F-4341-A2FD-D6D685C99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EA203A" w14:textId="6C43B10B" w:rsidR="00441364" w:rsidRDefault="00E5326A" w:rsidP="00684B15">
      <w:pPr>
        <w:jc w:val="center"/>
        <w:rPr>
          <w:b/>
          <w:bCs/>
          <w:color w:val="2E74B5" w:themeColor="accent1" w:themeShade="BF"/>
          <w:sz w:val="24"/>
          <w:szCs w:val="24"/>
        </w:rPr>
      </w:pPr>
      <w:r>
        <w:rPr>
          <w:noProof/>
        </w:rPr>
        <w:lastRenderedPageBreak/>
        <w:drawing>
          <wp:inline distT="0" distB="0" distL="0" distR="0" wp14:anchorId="5B01DCE4" wp14:editId="2300C3B1">
            <wp:extent cx="3705225" cy="2390775"/>
            <wp:effectExtent l="0" t="0" r="9525" b="9525"/>
            <wp:docPr id="8" name="Chart 8">
              <a:extLst xmlns:a="http://schemas.openxmlformats.org/drawingml/2006/main">
                <a:ext uri="{FF2B5EF4-FFF2-40B4-BE49-F238E27FC236}">
                  <a16:creationId xmlns:a16="http://schemas.microsoft.com/office/drawing/2014/main" id="{37044E43-3669-42F6-8564-B36EFA1269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02852C" w14:textId="77777777" w:rsidR="00DD2EDD" w:rsidRDefault="00DD2EDD" w:rsidP="00684B15">
      <w:pPr>
        <w:jc w:val="center"/>
        <w:rPr>
          <w:b/>
          <w:bCs/>
          <w:color w:val="2E74B5" w:themeColor="accent1" w:themeShade="BF"/>
          <w:sz w:val="24"/>
          <w:szCs w:val="24"/>
        </w:rPr>
      </w:pPr>
    </w:p>
    <w:p w14:paraId="787FFF70" w14:textId="1C7ADF7F" w:rsidR="00334CE0" w:rsidRPr="00A44BF5" w:rsidRDefault="00DD2EDD" w:rsidP="00A44BF5">
      <w:pPr>
        <w:widowControl w:val="0"/>
        <w:spacing w:line="240" w:lineRule="auto"/>
        <w:jc w:val="both"/>
        <w:rPr>
          <w:rFonts w:ascii="Calibri" w:eastAsia="DengXian" w:hAnsi="Calibri" w:cs="Calibri"/>
          <w:lang w:eastAsia="zh-CN"/>
        </w:rPr>
      </w:pPr>
      <w:r w:rsidRPr="00DD2EDD">
        <w:rPr>
          <w:rFonts w:ascii="Calibri" w:eastAsia="DengXian" w:hAnsi="Calibri" w:cs="Calibri"/>
          <w:lang w:eastAsia="zh-CN"/>
        </w:rPr>
        <w:t xml:space="preserve">As a leader of rating market, SPGI has a higher stock price, and a higher P/E ratio, which indicates that the market </w:t>
      </w:r>
      <w:proofErr w:type="gramStart"/>
      <w:r w:rsidRPr="00DD2EDD">
        <w:rPr>
          <w:rFonts w:ascii="Calibri" w:eastAsia="DengXian" w:hAnsi="Calibri" w:cs="Calibri"/>
          <w:lang w:eastAsia="zh-CN"/>
        </w:rPr>
        <w:t>predict</w:t>
      </w:r>
      <w:proofErr w:type="gramEnd"/>
      <w:r w:rsidRPr="00DD2EDD">
        <w:rPr>
          <w:rFonts w:ascii="Calibri" w:eastAsia="DengXian" w:hAnsi="Calibri" w:cs="Calibri"/>
          <w:lang w:eastAsia="zh-CN"/>
        </w:rPr>
        <w:t xml:space="preserve"> the profit of SPGI will be increasing, although the COVID-19 situation, SPGI’s stock performance is way more better than S&amp;P 500. </w:t>
      </w:r>
      <w:r>
        <w:rPr>
          <w:rFonts w:ascii="Calibri" w:eastAsia="DengXian" w:hAnsi="Calibri" w:cs="Calibri"/>
          <w:lang w:eastAsia="zh-CN"/>
        </w:rPr>
        <w:t>With target price of 396.56, we could expect a</w:t>
      </w:r>
      <w:r w:rsidR="006D0FE0">
        <w:rPr>
          <w:rFonts w:ascii="Calibri" w:eastAsia="DengXian" w:hAnsi="Calibri" w:cs="Calibri"/>
          <w:lang w:eastAsia="zh-CN"/>
        </w:rPr>
        <w:t>n</w:t>
      </w:r>
      <w:r>
        <w:rPr>
          <w:rFonts w:ascii="Calibri" w:eastAsia="DengXian" w:hAnsi="Calibri" w:cs="Calibri"/>
          <w:lang w:eastAsia="zh-CN"/>
        </w:rPr>
        <w:t xml:space="preserve"> increase in following years.</w:t>
      </w:r>
      <w:r w:rsidR="00E5326A">
        <w:rPr>
          <w:rFonts w:ascii="Calibri" w:eastAsia="DengXian" w:hAnsi="Calibri" w:cs="Calibri"/>
          <w:lang w:eastAsia="zh-CN"/>
        </w:rPr>
        <w:t xml:space="preserve"> Then we look at the P/B Ratio, as we can see the P/B ratio has</w:t>
      </w:r>
      <w:r w:rsidR="000B2502">
        <w:rPr>
          <w:rFonts w:ascii="Calibri" w:eastAsia="DengXian" w:hAnsi="Calibri" w:cs="Calibri"/>
          <w:lang w:eastAsia="zh-CN"/>
        </w:rPr>
        <w:t xml:space="preserve"> increased a lot, which indicates that market has expected S&amp;P Global to earn in the future.</w:t>
      </w:r>
    </w:p>
    <w:p w14:paraId="20B794F0" w14:textId="11A80668" w:rsidR="00415459" w:rsidRPr="00E5326A" w:rsidRDefault="00334CE0" w:rsidP="00E5326A">
      <w:pPr>
        <w:widowControl w:val="0"/>
        <w:jc w:val="both"/>
        <w:rPr>
          <w:rFonts w:ascii="Calibri" w:eastAsia="DengXian" w:hAnsi="Calibri" w:cs="Calibri"/>
          <w:lang w:eastAsia="zh-CN"/>
        </w:rPr>
      </w:pPr>
      <w:bookmarkStart w:id="2" w:name="_Hlk55124287"/>
      <w:r w:rsidRPr="00334CE0">
        <w:rPr>
          <w:rFonts w:ascii="Calibri" w:eastAsia="DengXian" w:hAnsi="Calibri" w:cs="Calibri"/>
          <w:lang w:eastAsia="zh-CN"/>
        </w:rPr>
        <w:t xml:space="preserve">Basing on these two analyses, we could get a range of </w:t>
      </w:r>
      <w:r w:rsidR="00DD2EDD">
        <w:rPr>
          <w:rFonts w:ascii="Calibri" w:eastAsia="DengXian" w:hAnsi="Calibri" w:cs="Calibri"/>
          <w:lang w:eastAsia="zh-CN"/>
        </w:rPr>
        <w:t>SPGI</w:t>
      </w:r>
      <w:r w:rsidRPr="00334CE0">
        <w:rPr>
          <w:rFonts w:ascii="Calibri" w:eastAsia="DengXian" w:hAnsi="Calibri" w:cs="Calibri"/>
          <w:lang w:eastAsia="zh-CN"/>
        </w:rPr>
        <w:t xml:space="preserve">’s stock price is </w:t>
      </w:r>
      <w:r w:rsidRPr="00334CE0">
        <w:rPr>
          <w:rFonts w:ascii="Calibri" w:eastAsia="DengXian" w:hAnsi="Calibri" w:cs="Calibri"/>
          <w:b/>
          <w:bCs/>
          <w:lang w:eastAsia="zh-CN"/>
        </w:rPr>
        <w:t>$</w:t>
      </w:r>
      <w:r w:rsidR="006D0FE0">
        <w:rPr>
          <w:rFonts w:ascii="Calibri" w:eastAsia="DengXian" w:hAnsi="Calibri" w:cs="Calibri"/>
          <w:b/>
          <w:bCs/>
          <w:lang w:eastAsia="zh-CN"/>
        </w:rPr>
        <w:t>4</w:t>
      </w:r>
      <w:r w:rsidR="00251E15">
        <w:rPr>
          <w:rFonts w:ascii="Calibri" w:eastAsia="DengXian" w:hAnsi="Calibri" w:cs="Calibri"/>
          <w:b/>
          <w:bCs/>
          <w:lang w:eastAsia="zh-CN"/>
        </w:rPr>
        <w:t>2</w:t>
      </w:r>
      <w:r w:rsidR="006D0FE0">
        <w:rPr>
          <w:rFonts w:ascii="Calibri" w:eastAsia="DengXian" w:hAnsi="Calibri" w:cs="Calibri"/>
          <w:b/>
          <w:bCs/>
          <w:lang w:eastAsia="zh-CN"/>
        </w:rPr>
        <w:t>0</w:t>
      </w:r>
      <w:r w:rsidRPr="00334CE0">
        <w:rPr>
          <w:rFonts w:ascii="Calibri" w:eastAsia="DengXian" w:hAnsi="Calibri" w:cs="Calibri"/>
          <w:b/>
          <w:bCs/>
          <w:lang w:eastAsia="zh-CN"/>
        </w:rPr>
        <w:t xml:space="preserve"> – $</w:t>
      </w:r>
      <w:r w:rsidR="006D0FE0">
        <w:rPr>
          <w:rFonts w:ascii="Calibri" w:eastAsia="DengXian" w:hAnsi="Calibri" w:cs="Calibri"/>
          <w:b/>
          <w:bCs/>
          <w:lang w:eastAsia="zh-CN"/>
        </w:rPr>
        <w:t>501.98</w:t>
      </w:r>
      <w:r w:rsidRPr="00334CE0">
        <w:rPr>
          <w:rFonts w:ascii="Calibri" w:eastAsia="DengXian" w:hAnsi="Calibri" w:cs="Calibri"/>
          <w:lang w:eastAsia="zh-CN"/>
        </w:rPr>
        <w:t xml:space="preserve">, which is increasing of </w:t>
      </w:r>
      <w:r w:rsidR="00251E15">
        <w:rPr>
          <w:rFonts w:ascii="Calibri" w:eastAsia="DengXian" w:hAnsi="Calibri" w:cs="Calibri"/>
          <w:b/>
          <w:bCs/>
          <w:lang w:eastAsia="zh-CN"/>
        </w:rPr>
        <w:t>23</w:t>
      </w:r>
      <w:r w:rsidR="006D0FE0">
        <w:rPr>
          <w:rFonts w:ascii="Calibri" w:eastAsia="DengXian" w:hAnsi="Calibri" w:cs="Calibri"/>
          <w:b/>
          <w:bCs/>
          <w:lang w:eastAsia="zh-CN"/>
        </w:rPr>
        <w:t>.1</w:t>
      </w:r>
      <w:r w:rsidRPr="00334CE0">
        <w:rPr>
          <w:rFonts w:ascii="Calibri" w:eastAsia="DengXian" w:hAnsi="Calibri" w:cs="Calibri"/>
          <w:b/>
          <w:bCs/>
          <w:lang w:eastAsia="zh-CN"/>
        </w:rPr>
        <w:t>% - 46.</w:t>
      </w:r>
      <w:r w:rsidR="006D0FE0">
        <w:rPr>
          <w:rFonts w:ascii="Calibri" w:eastAsia="DengXian" w:hAnsi="Calibri" w:cs="Calibri"/>
          <w:b/>
          <w:bCs/>
          <w:lang w:eastAsia="zh-CN"/>
        </w:rPr>
        <w:t>9</w:t>
      </w:r>
      <w:r w:rsidRPr="00334CE0">
        <w:rPr>
          <w:rFonts w:ascii="Calibri" w:eastAsia="DengXian" w:hAnsi="Calibri" w:cs="Calibri"/>
          <w:b/>
          <w:bCs/>
          <w:lang w:eastAsia="zh-CN"/>
        </w:rPr>
        <w:t>%</w:t>
      </w:r>
      <w:r w:rsidRPr="00334CE0">
        <w:rPr>
          <w:rFonts w:ascii="Calibri" w:eastAsia="DengXian" w:hAnsi="Calibri" w:cs="Calibri"/>
          <w:lang w:eastAsia="zh-CN"/>
        </w:rPr>
        <w:t xml:space="preserve"> </w:t>
      </w:r>
      <w:bookmarkEnd w:id="2"/>
    </w:p>
    <w:p w14:paraId="30F8A756" w14:textId="0924847A" w:rsidR="00590387" w:rsidRPr="0027420D" w:rsidRDefault="00931A2F" w:rsidP="0027420D">
      <w:r w:rsidRPr="002354F1">
        <w:rPr>
          <w:b/>
          <w:bCs/>
          <w:noProof/>
          <w:color w:val="C00000"/>
          <w:sz w:val="36"/>
          <w:szCs w:val="36"/>
        </w:rPr>
        <w:drawing>
          <wp:anchor distT="0" distB="0" distL="114300" distR="114300" simplePos="0" relativeHeight="251662848" behindDoc="0" locked="0" layoutInCell="1" allowOverlap="1" wp14:anchorId="03199BDE" wp14:editId="640E567B">
            <wp:simplePos x="0" y="0"/>
            <wp:positionH relativeFrom="column">
              <wp:posOffset>2562225</wp:posOffset>
            </wp:positionH>
            <wp:positionV relativeFrom="paragraph">
              <wp:posOffset>210820</wp:posOffset>
            </wp:positionV>
            <wp:extent cx="3237230" cy="1414780"/>
            <wp:effectExtent l="0" t="0" r="1270" b="0"/>
            <wp:wrapTight wrapText="bothSides">
              <wp:wrapPolygon edited="0">
                <wp:start x="0" y="0"/>
                <wp:lineTo x="0" y="21232"/>
                <wp:lineTo x="21481" y="21232"/>
                <wp:lineTo x="214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37230" cy="1414780"/>
                    </a:xfrm>
                    <a:prstGeom prst="rect">
                      <a:avLst/>
                    </a:prstGeom>
                  </pic:spPr>
                </pic:pic>
              </a:graphicData>
            </a:graphic>
            <wp14:sizeRelH relativeFrom="page">
              <wp14:pctWidth>0</wp14:pctWidth>
            </wp14:sizeRelH>
            <wp14:sizeRelV relativeFrom="page">
              <wp14:pctHeight>0</wp14:pctHeight>
            </wp14:sizeRelV>
          </wp:anchor>
        </w:drawing>
      </w:r>
      <w:r w:rsidR="00B2202C" w:rsidRPr="002354F1">
        <w:rPr>
          <w:b/>
          <w:bCs/>
          <w:noProof/>
          <w:color w:val="C00000"/>
          <w:sz w:val="36"/>
          <w:szCs w:val="36"/>
        </w:rPr>
        <mc:AlternateContent>
          <mc:Choice Requires="wps">
            <w:drawing>
              <wp:anchor distT="0" distB="0" distL="114300" distR="114300" simplePos="0" relativeHeight="251656704" behindDoc="0" locked="0" layoutInCell="1" allowOverlap="1" wp14:anchorId="31F8D4D8" wp14:editId="27647BDC">
                <wp:simplePos x="0" y="0"/>
                <wp:positionH relativeFrom="margin">
                  <wp:align>left</wp:align>
                </wp:positionH>
                <wp:positionV relativeFrom="paragraph">
                  <wp:posOffset>-112661</wp:posOffset>
                </wp:positionV>
                <wp:extent cx="5969000" cy="82550"/>
                <wp:effectExtent l="0" t="0" r="0" b="0"/>
                <wp:wrapNone/>
                <wp:docPr id="20" name="Rectangle 20"/>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w:pict w14:anchorId="36B2D8F8">
              <v:rect id="Rectangle 20" style="position:absolute;margin-left:0;margin-top:-8.85pt;width:470pt;height:6.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lack [3213]" stroked="f" strokeweight="1pt" w14:anchorId="4049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">
                <w10:wrap anchorx="margin"/>
              </v:rect>
            </w:pict>
          </mc:Fallback>
        </mc:AlternateContent>
      </w:r>
      <w:r w:rsidR="00B6400C" w:rsidRPr="002354F1">
        <w:rPr>
          <w:b/>
          <w:bCs/>
          <w:color w:val="C00000"/>
          <w:sz w:val="36"/>
          <w:szCs w:val="36"/>
        </w:rPr>
        <w:t>Risks:</w:t>
      </w:r>
      <w:r w:rsidR="00B6400C">
        <w:rPr>
          <w:b/>
          <w:bCs/>
          <w:color w:val="1F3864" w:themeColor="accent5" w:themeShade="80"/>
          <w:sz w:val="36"/>
          <w:szCs w:val="36"/>
        </w:rPr>
        <w:t xml:space="preserve"> </w:t>
      </w:r>
    </w:p>
    <w:p w14:paraId="7F65A2C2" w14:textId="729E029B" w:rsidR="00BC1F60" w:rsidRPr="002354F1" w:rsidRDefault="00590387" w:rsidP="00E37220">
      <w:pPr>
        <w:outlineLvl w:val="0"/>
        <w:rPr>
          <w:b/>
          <w:bCs/>
          <w:color w:val="FF0000"/>
          <w:sz w:val="24"/>
          <w:szCs w:val="24"/>
        </w:rPr>
      </w:pPr>
      <w:r w:rsidRPr="002354F1">
        <w:rPr>
          <w:b/>
          <w:bCs/>
          <w:color w:val="FF0000"/>
          <w:sz w:val="24"/>
          <w:szCs w:val="24"/>
        </w:rPr>
        <w:t>Economy</w:t>
      </w:r>
    </w:p>
    <w:p w14:paraId="24F8C58A" w14:textId="77777777" w:rsidR="00570F5B" w:rsidRPr="00570F5B" w:rsidRDefault="00570F5B" w:rsidP="00570F5B">
      <w:pPr>
        <w:outlineLvl w:val="0"/>
      </w:pPr>
      <w:r w:rsidRPr="00570F5B">
        <w:t>As big recession hit the whole global market out of COVID-19, with many other political elements, stock market is at rising volatility statement. It may affect the companies S&amp;P rated and which also make changes to S&amp;P’s rating ability and their benchmarks.</w:t>
      </w:r>
    </w:p>
    <w:p w14:paraId="76BEF3CE" w14:textId="5AC68B6E" w:rsidR="00570F5B" w:rsidRPr="00570F5B" w:rsidRDefault="00570F5B" w:rsidP="00570F5B">
      <w:pPr>
        <w:outlineLvl w:val="0"/>
      </w:pPr>
      <w:r w:rsidRPr="00570F5B">
        <w:t>However, S&amp;P Global Inc is the most professional rating and full of experienced leadership group to address and analysis various problems since it established. This year’s condition</w:t>
      </w:r>
      <w:r w:rsidR="0003735F">
        <w:t xml:space="preserve"> </w:t>
      </w:r>
      <w:r w:rsidRPr="00570F5B">
        <w:t>would be their good analytical performance in recent years.</w:t>
      </w:r>
    </w:p>
    <w:p w14:paraId="50986755" w14:textId="3943FC6F" w:rsidR="00570F5B" w:rsidRPr="002354F1" w:rsidRDefault="00570F5B" w:rsidP="0089076D">
      <w:pPr>
        <w:outlineLvl w:val="0"/>
        <w:rPr>
          <w:b/>
          <w:bCs/>
          <w:color w:val="FF0000"/>
          <w:sz w:val="24"/>
          <w:szCs w:val="24"/>
        </w:rPr>
      </w:pPr>
      <w:r w:rsidRPr="002354F1">
        <w:rPr>
          <w:b/>
          <w:bCs/>
          <w:color w:val="FF0000"/>
          <w:sz w:val="24"/>
          <w:szCs w:val="24"/>
        </w:rPr>
        <w:t xml:space="preserve">Diversification: </w:t>
      </w:r>
    </w:p>
    <w:p w14:paraId="696CE0DE" w14:textId="44E4A117" w:rsidR="00570F5B" w:rsidRDefault="00570F5B" w:rsidP="00E37220">
      <w:pPr>
        <w:outlineLvl w:val="0"/>
      </w:pPr>
      <w:r>
        <w:t xml:space="preserve">S&amp;P GLOBAL INC prefers </w:t>
      </w:r>
      <w:r w:rsidR="00DA4762">
        <w:t>choosing to</w:t>
      </w:r>
      <w:r>
        <w:t xml:space="preserve"> rate gigantic global companies and claims broad diversification of investment solutions, but S&amp;P members they make few about entire industries or companies in the whole world or US’s</w:t>
      </w:r>
      <w:r w:rsidR="00BE7D51">
        <w:t>.</w:t>
      </w:r>
    </w:p>
    <w:p w14:paraId="1204C3E1" w14:textId="003806E5" w:rsidR="00BE7D51" w:rsidRDefault="00BE7D51" w:rsidP="00E37220">
      <w:pPr>
        <w:outlineLvl w:val="0"/>
        <w:rPr>
          <w:lang w:eastAsia="zh-CN"/>
        </w:rPr>
      </w:pPr>
      <w:r>
        <w:lastRenderedPageBreak/>
        <w:t xml:space="preserve">Out of the specific </w:t>
      </w:r>
      <w:r w:rsidR="00214D7E">
        <w:t>choosing</w:t>
      </w:r>
      <w:r w:rsidR="003823AE">
        <w:t xml:space="preserve">, the benchmark of each industry has been a </w:t>
      </w:r>
      <w:r w:rsidR="00EF4210">
        <w:t xml:space="preserve">part of the S&amp;P index data, and </w:t>
      </w:r>
      <w:r w:rsidR="00D801F4">
        <w:rPr>
          <w:lang w:eastAsia="zh-CN"/>
        </w:rPr>
        <w:t xml:space="preserve">these </w:t>
      </w:r>
      <w:r w:rsidR="008532E6">
        <w:rPr>
          <w:lang w:eastAsia="zh-CN"/>
        </w:rPr>
        <w:t xml:space="preserve">accumulated </w:t>
      </w:r>
      <w:r w:rsidR="002A43B9">
        <w:rPr>
          <w:lang w:eastAsia="zh-CN"/>
        </w:rPr>
        <w:t xml:space="preserve">error or deviation will </w:t>
      </w:r>
      <w:r w:rsidR="00A10520">
        <w:rPr>
          <w:lang w:eastAsia="zh-CN"/>
        </w:rPr>
        <w:t>be parts of index too, then misleading</w:t>
      </w:r>
      <w:r w:rsidR="00C67452">
        <w:rPr>
          <w:lang w:eastAsia="zh-CN"/>
        </w:rPr>
        <w:t xml:space="preserve"> people to invest </w:t>
      </w:r>
      <w:r w:rsidR="00323185">
        <w:rPr>
          <w:lang w:eastAsia="zh-CN"/>
        </w:rPr>
        <w:t xml:space="preserve">to the right company. Another hand, those data cannot </w:t>
      </w:r>
      <w:r w:rsidR="00520947">
        <w:rPr>
          <w:lang w:eastAsia="zh-CN"/>
        </w:rPr>
        <w:t xml:space="preserve">embody </w:t>
      </w:r>
      <w:r w:rsidR="003E25D7">
        <w:rPr>
          <w:lang w:eastAsia="zh-CN"/>
        </w:rPr>
        <w:t xml:space="preserve">global industry market comprehensively, because they may </w:t>
      </w:r>
      <w:r w:rsidR="00AA47FB">
        <w:rPr>
          <w:lang w:eastAsia="zh-CN"/>
        </w:rPr>
        <w:t xml:space="preserve">be the </w:t>
      </w:r>
      <w:r w:rsidR="00A32B9B">
        <w:rPr>
          <w:lang w:eastAsia="zh-CN"/>
        </w:rPr>
        <w:t>relatively good part in the whole industry.</w:t>
      </w:r>
    </w:p>
    <w:p w14:paraId="006D2722" w14:textId="75702184" w:rsidR="00C7115F" w:rsidRDefault="00C7115F" w:rsidP="00E37220">
      <w:pPr>
        <w:outlineLvl w:val="0"/>
        <w:rPr>
          <w:lang w:eastAsia="zh-CN"/>
        </w:rPr>
      </w:pPr>
      <w:r>
        <w:rPr>
          <w:lang w:eastAsia="zh-CN"/>
        </w:rPr>
        <w:t xml:space="preserve">Thus, </w:t>
      </w:r>
      <w:r w:rsidR="00AC4348">
        <w:rPr>
          <w:lang w:eastAsia="zh-CN"/>
        </w:rPr>
        <w:t xml:space="preserve">enlarging diversification of those choosing industries </w:t>
      </w:r>
      <w:r w:rsidR="000A4A20">
        <w:rPr>
          <w:lang w:eastAsia="zh-CN"/>
        </w:rPr>
        <w:t>is the good solution.</w:t>
      </w:r>
    </w:p>
    <w:p w14:paraId="56230FBC" w14:textId="177E7576" w:rsidR="00BC1F60" w:rsidRPr="002354F1" w:rsidRDefault="009B65DB" w:rsidP="00E37220">
      <w:pPr>
        <w:outlineLvl w:val="0"/>
        <w:rPr>
          <w:b/>
          <w:bCs/>
          <w:color w:val="FF0000"/>
          <w:sz w:val="24"/>
          <w:szCs w:val="24"/>
        </w:rPr>
      </w:pPr>
      <w:r w:rsidRPr="002354F1">
        <w:rPr>
          <w:b/>
          <w:bCs/>
          <w:color w:val="FF0000"/>
          <w:sz w:val="24"/>
          <w:szCs w:val="24"/>
        </w:rPr>
        <w:t>Security Breach</w:t>
      </w:r>
    </w:p>
    <w:p w14:paraId="7C7179C6" w14:textId="3546CDDD" w:rsidR="009B65DB" w:rsidRDefault="0003735F" w:rsidP="00590387">
      <w:pPr>
        <w:rPr>
          <w:b/>
          <w:bCs/>
          <w:color w:val="2E74B5" w:themeColor="accent1" w:themeShade="BF"/>
          <w:sz w:val="24"/>
          <w:szCs w:val="24"/>
        </w:rPr>
      </w:pPr>
      <w:r>
        <w:rPr>
          <w:b/>
          <w:bCs/>
          <w:noProof/>
          <w:color w:val="5B9BD5" w:themeColor="accent1"/>
          <w:sz w:val="32"/>
          <w:szCs w:val="32"/>
        </w:rPr>
        <mc:AlternateContent>
          <mc:Choice Requires="wps">
            <w:drawing>
              <wp:anchor distT="0" distB="0" distL="114300" distR="114300" simplePos="0" relativeHeight="251653632" behindDoc="0" locked="0" layoutInCell="1" allowOverlap="1" wp14:anchorId="4D9CF3DA" wp14:editId="10D1623C">
                <wp:simplePos x="0" y="0"/>
                <wp:positionH relativeFrom="margin">
                  <wp:posOffset>-93345</wp:posOffset>
                </wp:positionH>
                <wp:positionV relativeFrom="paragraph">
                  <wp:posOffset>746125</wp:posOffset>
                </wp:positionV>
                <wp:extent cx="5969000" cy="82550"/>
                <wp:effectExtent l="0" t="0" r="0" b="0"/>
                <wp:wrapNone/>
                <wp:docPr id="9" name="Rectangle 9"/>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w:pict w14:anchorId="1DDC2BCF">
              <v:rect id="Rectangle 9" style="position:absolute;margin-left:-7.35pt;margin-top:58.75pt;width:470pt;height: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d="f" strokeweight="1pt" w14:anchorId="1D7E3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">
                <w10:wrap anchorx="margin"/>
              </v:rect>
            </w:pict>
          </mc:Fallback>
        </mc:AlternateContent>
      </w:r>
      <w:r w:rsidRPr="0003735F">
        <w:t xml:space="preserve">S&amp;P Global is famous with its rating and its market intelligence. It takes almost all the market of ranking. From annual report, technology budget of S&amp;P Global took almost 57% of its net profit of the whole year in 2018. We could see that technology has taken a large place on S&amp;P </w:t>
      </w:r>
      <w:proofErr w:type="spellStart"/>
      <w:r w:rsidRPr="0003735F">
        <w:t>Global’s</w:t>
      </w:r>
      <w:proofErr w:type="spellEnd"/>
      <w:r w:rsidRPr="0003735F">
        <w:t xml:space="preserve"> works. However, security breach is rarely happened so the probability is low.</w:t>
      </w:r>
      <w:bookmarkStart w:id="3" w:name="_Hlk58065849"/>
    </w:p>
    <w:bookmarkEnd w:id="3"/>
    <w:p w14:paraId="5C43DA49" w14:textId="04ADACF2" w:rsidR="00376572" w:rsidRPr="002354F1" w:rsidRDefault="00376572" w:rsidP="0027420D">
      <w:pPr>
        <w:rPr>
          <w:b/>
          <w:bCs/>
          <w:color w:val="C00000"/>
          <w:sz w:val="36"/>
          <w:szCs w:val="36"/>
        </w:rPr>
      </w:pPr>
      <w:r w:rsidRPr="002354F1">
        <w:rPr>
          <w:b/>
          <w:bCs/>
          <w:color w:val="C00000"/>
          <w:sz w:val="36"/>
          <w:szCs w:val="36"/>
        </w:rPr>
        <w:t>Management</w:t>
      </w:r>
      <w:r w:rsidR="007F2B02" w:rsidRPr="002354F1">
        <w:rPr>
          <w:b/>
          <w:bCs/>
          <w:color w:val="C00000"/>
          <w:sz w:val="36"/>
          <w:szCs w:val="36"/>
        </w:rPr>
        <w:t>:</w:t>
      </w:r>
      <w:r w:rsidRPr="002354F1">
        <w:rPr>
          <w:b/>
          <w:bCs/>
          <w:color w:val="C00000"/>
          <w:sz w:val="36"/>
          <w:szCs w:val="36"/>
        </w:rPr>
        <w:t xml:space="preserve"> </w:t>
      </w:r>
    </w:p>
    <w:p w14:paraId="469D5108" w14:textId="66135E9B" w:rsidR="00DF0295" w:rsidRDefault="00DF0295" w:rsidP="00570F5B">
      <w:pPr>
        <w:rPr>
          <w:rFonts w:ascii="Calibri" w:hAnsi="Calibri" w:cs="Calibri"/>
        </w:rPr>
      </w:pPr>
      <w:r w:rsidRPr="00DF0295">
        <w:rPr>
          <w:rFonts w:ascii="Calibri" w:hAnsi="Calibri" w:cs="Calibri"/>
        </w:rPr>
        <w:t xml:space="preserve">Doug Peterson has served as President, Chief Executive </w:t>
      </w:r>
      <w:proofErr w:type="gramStart"/>
      <w:r w:rsidRPr="00DF0295">
        <w:rPr>
          <w:rFonts w:ascii="Calibri" w:hAnsi="Calibri" w:cs="Calibri"/>
        </w:rPr>
        <w:t>Officer</w:t>
      </w:r>
      <w:proofErr w:type="gramEnd"/>
      <w:r w:rsidRPr="00DF0295">
        <w:rPr>
          <w:rFonts w:ascii="Calibri" w:hAnsi="Calibri" w:cs="Calibri"/>
        </w:rPr>
        <w:t xml:space="preserve"> and a member of the Board of Directors of S&amp;P Global since 2013. He joined the Company in 2011 as President of Standard &amp; Poor’s Ratings Services.</w:t>
      </w:r>
      <w:r w:rsidR="002C1A9E">
        <w:rPr>
          <w:rFonts w:ascii="Calibri" w:hAnsi="Calibri" w:cs="Calibri"/>
        </w:rPr>
        <w:t xml:space="preserve"> H</w:t>
      </w:r>
      <w:r w:rsidR="002C1A9E">
        <w:rPr>
          <w:rFonts w:ascii="Calibri" w:hAnsi="Calibri" w:cs="Calibri"/>
          <w:lang w:eastAsia="zh-CN"/>
        </w:rPr>
        <w:t xml:space="preserve">e was the </w:t>
      </w:r>
      <w:r w:rsidR="00C57A22">
        <w:rPr>
          <w:rFonts w:ascii="Calibri" w:hAnsi="Calibri" w:cs="Calibri"/>
          <w:lang w:eastAsia="zh-CN"/>
        </w:rPr>
        <w:t>member of the Boards of Directors of Business Roundtable, the Japan Society</w:t>
      </w:r>
      <w:r w:rsidR="006B1666">
        <w:rPr>
          <w:rFonts w:ascii="Calibri" w:hAnsi="Calibri" w:cs="Calibri"/>
          <w:lang w:eastAsia="zh-CN"/>
        </w:rPr>
        <w:t xml:space="preserve"> and </w:t>
      </w:r>
      <w:r w:rsidR="00E04D2A">
        <w:rPr>
          <w:rFonts w:ascii="Calibri" w:hAnsi="Calibri" w:cs="Calibri"/>
          <w:lang w:eastAsia="zh-CN"/>
        </w:rPr>
        <w:t xml:space="preserve">member of </w:t>
      </w:r>
      <w:r w:rsidR="006B1666">
        <w:rPr>
          <w:rFonts w:ascii="Calibri" w:hAnsi="Calibri" w:cs="Calibri"/>
          <w:lang w:eastAsia="zh-CN"/>
        </w:rPr>
        <w:t xml:space="preserve">series authority </w:t>
      </w:r>
      <w:proofErr w:type="gramStart"/>
      <w:r w:rsidR="006B1666">
        <w:rPr>
          <w:rFonts w:ascii="Calibri" w:hAnsi="Calibri" w:cs="Calibri"/>
          <w:lang w:eastAsia="zh-CN"/>
        </w:rPr>
        <w:t>institution</w:t>
      </w:r>
      <w:r w:rsidR="001431C0">
        <w:rPr>
          <w:rFonts w:ascii="Calibri" w:hAnsi="Calibri" w:cs="Calibri"/>
          <w:lang w:eastAsia="zh-CN"/>
        </w:rPr>
        <w:t>s’</w:t>
      </w:r>
      <w:proofErr w:type="gramEnd"/>
      <w:r w:rsidR="001431C0">
        <w:rPr>
          <w:rFonts w:ascii="Calibri" w:hAnsi="Calibri" w:cs="Calibri"/>
          <w:lang w:eastAsia="zh-CN"/>
        </w:rPr>
        <w:t>.</w:t>
      </w:r>
    </w:p>
    <w:p w14:paraId="7D01F8BC" w14:textId="6B521284" w:rsidR="00570F5B" w:rsidRPr="00570F5B" w:rsidRDefault="00570F5B" w:rsidP="00570F5B">
      <w:pPr>
        <w:rPr>
          <w:rFonts w:ascii="Calibri" w:hAnsi="Calibri" w:cs="Calibri"/>
        </w:rPr>
      </w:pPr>
      <w:r w:rsidRPr="00570F5B">
        <w:rPr>
          <w:rFonts w:ascii="Calibri" w:hAnsi="Calibri" w:cs="Calibri"/>
        </w:rPr>
        <w:t>All over the world, in every corner of the globe, over 23,000 employees are focused on the real-time information that is vital to the world of business. Meet the faces behind our essential data and insights, which is ours goals.</w:t>
      </w:r>
    </w:p>
    <w:p w14:paraId="0F82B022" w14:textId="4BBB8095" w:rsidR="000847F3" w:rsidRPr="002354F1" w:rsidRDefault="00570F5B" w:rsidP="0027420D">
      <w:pPr>
        <w:rPr>
          <w:b/>
          <w:bCs/>
          <w:color w:val="C00000"/>
          <w:sz w:val="36"/>
          <w:szCs w:val="36"/>
        </w:rPr>
      </w:pPr>
      <w:r w:rsidRPr="002354F1">
        <w:rPr>
          <w:b/>
          <w:bCs/>
          <w:noProof/>
          <w:color w:val="C00000"/>
          <w:sz w:val="36"/>
          <w:szCs w:val="36"/>
        </w:rPr>
        <w:drawing>
          <wp:anchor distT="0" distB="0" distL="114300" distR="114300" simplePos="0" relativeHeight="251658752" behindDoc="1" locked="0" layoutInCell="1" allowOverlap="1" wp14:anchorId="7CAFDDCE" wp14:editId="421E6F6D">
            <wp:simplePos x="0" y="0"/>
            <wp:positionH relativeFrom="margin">
              <wp:posOffset>18415</wp:posOffset>
            </wp:positionH>
            <wp:positionV relativeFrom="paragraph">
              <wp:posOffset>354330</wp:posOffset>
            </wp:positionV>
            <wp:extent cx="4619625" cy="2226945"/>
            <wp:effectExtent l="0" t="0" r="9525"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619625" cy="2226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54F1">
        <w:rPr>
          <w:b/>
          <w:bCs/>
          <w:noProof/>
          <w:color w:val="C00000"/>
          <w:sz w:val="36"/>
          <w:szCs w:val="36"/>
        </w:rPr>
        <mc:AlternateContent>
          <mc:Choice Requires="wps">
            <w:drawing>
              <wp:anchor distT="45720" distB="45720" distL="114300" distR="114300" simplePos="0" relativeHeight="251665920" behindDoc="0" locked="0" layoutInCell="1" allowOverlap="1" wp14:anchorId="5069C82F" wp14:editId="54C2EAF4">
                <wp:simplePos x="0" y="0"/>
                <wp:positionH relativeFrom="page">
                  <wp:align>right</wp:align>
                </wp:positionH>
                <wp:positionV relativeFrom="paragraph">
                  <wp:posOffset>516255</wp:posOffset>
                </wp:positionV>
                <wp:extent cx="197167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19175"/>
                        </a:xfrm>
                        <a:prstGeom prst="rect">
                          <a:avLst/>
                        </a:prstGeom>
                        <a:solidFill>
                          <a:srgbClr val="FFFFFF"/>
                        </a:solidFill>
                        <a:ln w="9525">
                          <a:solidFill>
                            <a:srgbClr val="000000"/>
                          </a:solidFill>
                          <a:miter lim="800000"/>
                          <a:headEnd/>
                          <a:tailEnd/>
                        </a:ln>
                      </wps:spPr>
                      <wps:txbx>
                        <w:txbxContent>
                          <w:p w14:paraId="2A66098C" w14:textId="21E74507" w:rsidR="00E36220" w:rsidRPr="00570F5B" w:rsidRDefault="00E36220">
                            <w:pPr>
                              <w:rPr>
                                <w:color w:val="92D050"/>
                                <w:sz w:val="24"/>
                                <w:szCs w:val="24"/>
                              </w:rPr>
                            </w:pPr>
                            <w:r w:rsidRPr="00570F5B">
                              <w:rPr>
                                <w:color w:val="92D050"/>
                                <w:sz w:val="24"/>
                                <w:szCs w:val="24"/>
                              </w:rPr>
                              <w:t xml:space="preserve">S&amp;P 500: </w:t>
                            </w:r>
                            <w:r w:rsidR="00570F5B" w:rsidRPr="00570F5B">
                              <w:rPr>
                                <w:color w:val="92D050"/>
                                <w:sz w:val="24"/>
                                <w:szCs w:val="24"/>
                              </w:rPr>
                              <w:t>-27.89%</w:t>
                            </w:r>
                          </w:p>
                          <w:p w14:paraId="6A93C20B" w14:textId="41880A52" w:rsidR="00E36220" w:rsidRPr="00E36220" w:rsidRDefault="00E36220">
                            <w:pPr>
                              <w:rPr>
                                <w:sz w:val="24"/>
                                <w:szCs w:val="24"/>
                              </w:rPr>
                            </w:pPr>
                          </w:p>
                          <w:p w14:paraId="1B00BBF7" w14:textId="381D0B9D" w:rsidR="00E36220" w:rsidRPr="00E36220" w:rsidRDefault="00E36220">
                            <w:pPr>
                              <w:rPr>
                                <w:color w:val="70AD47" w:themeColor="accent6"/>
                                <w:sz w:val="24"/>
                                <w:szCs w:val="24"/>
                              </w:rPr>
                            </w:pPr>
                            <w:r w:rsidRPr="00570F5B">
                              <w:rPr>
                                <w:color w:val="00B0F0"/>
                                <w:sz w:val="24"/>
                                <w:szCs w:val="24"/>
                              </w:rPr>
                              <w:t xml:space="preserve">S&amp;P </w:t>
                            </w:r>
                            <w:r w:rsidR="00570F5B" w:rsidRPr="00570F5B">
                              <w:rPr>
                                <w:color w:val="00B0F0"/>
                                <w:sz w:val="24"/>
                                <w:szCs w:val="24"/>
                              </w:rPr>
                              <w:t>Global Inc</w:t>
                            </w:r>
                            <w:r w:rsidRPr="00E36220">
                              <w:rPr>
                                <w:color w:val="70AD47" w:themeColor="accent6"/>
                                <w:sz w:val="24"/>
                                <w:szCs w:val="24"/>
                              </w:rPr>
                              <w:t xml:space="preserve">: </w:t>
                            </w:r>
                            <w:r w:rsidR="00570F5B" w:rsidRPr="00570F5B">
                              <w:rPr>
                                <w:color w:val="00B0F0"/>
                                <w:sz w:val="24"/>
                                <w:szCs w:val="24"/>
                              </w:rPr>
                              <w:t>112.81%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9C82F" id="_x0000_t202" coordsize="21600,21600" o:spt="202" path="m,l,21600r21600,l21600,xe">
                <v:stroke joinstyle="miter"/>
                <v:path gradientshapeok="t" o:connecttype="rect"/>
              </v:shapetype>
              <v:shape id="Text Box 2" o:spid="_x0000_s1026" type="#_x0000_t202" style="position:absolute;margin-left:104.05pt;margin-top:40.65pt;width:155.25pt;height:80.25pt;z-index:2516659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">
                <v:textbox>
                  <w:txbxContent>
                    <w:p w14:paraId="2A66098C" w14:textId="21E74507" w:rsidR="00E36220" w:rsidRPr="00570F5B" w:rsidRDefault="00E36220">
                      <w:pPr>
                        <w:rPr>
                          <w:color w:val="92D050"/>
                          <w:sz w:val="24"/>
                          <w:szCs w:val="24"/>
                        </w:rPr>
                      </w:pPr>
                      <w:r w:rsidRPr="00570F5B">
                        <w:rPr>
                          <w:color w:val="92D050"/>
                          <w:sz w:val="24"/>
                          <w:szCs w:val="24"/>
                        </w:rPr>
                        <w:t xml:space="preserve">S&amp;P 500: </w:t>
                      </w:r>
                      <w:r w:rsidR="00570F5B" w:rsidRPr="00570F5B">
                        <w:rPr>
                          <w:color w:val="92D050"/>
                          <w:sz w:val="24"/>
                          <w:szCs w:val="24"/>
                        </w:rPr>
                        <w:t>-27.89%</w:t>
                      </w:r>
                    </w:p>
                    <w:p w14:paraId="6A93C20B" w14:textId="41880A52" w:rsidR="00E36220" w:rsidRPr="00E36220" w:rsidRDefault="00E36220">
                      <w:pPr>
                        <w:rPr>
                          <w:sz w:val="24"/>
                          <w:szCs w:val="24"/>
                        </w:rPr>
                      </w:pPr>
                    </w:p>
                    <w:p w14:paraId="1B00BBF7" w14:textId="381D0B9D" w:rsidR="00E36220" w:rsidRPr="00E36220" w:rsidRDefault="00E36220">
                      <w:pPr>
                        <w:rPr>
                          <w:color w:val="70AD47" w:themeColor="accent6"/>
                          <w:sz w:val="24"/>
                          <w:szCs w:val="24"/>
                        </w:rPr>
                      </w:pPr>
                      <w:r w:rsidRPr="00570F5B">
                        <w:rPr>
                          <w:color w:val="00B0F0"/>
                          <w:sz w:val="24"/>
                          <w:szCs w:val="24"/>
                        </w:rPr>
                        <w:t xml:space="preserve">S&amp;P </w:t>
                      </w:r>
                      <w:r w:rsidR="00570F5B" w:rsidRPr="00570F5B">
                        <w:rPr>
                          <w:color w:val="00B0F0"/>
                          <w:sz w:val="24"/>
                          <w:szCs w:val="24"/>
                        </w:rPr>
                        <w:t>Global Inc</w:t>
                      </w:r>
                      <w:r w:rsidRPr="00E36220">
                        <w:rPr>
                          <w:color w:val="70AD47" w:themeColor="accent6"/>
                          <w:sz w:val="24"/>
                          <w:szCs w:val="24"/>
                        </w:rPr>
                        <w:t xml:space="preserve">: </w:t>
                      </w:r>
                      <w:r w:rsidR="00570F5B" w:rsidRPr="00570F5B">
                        <w:rPr>
                          <w:color w:val="00B0F0"/>
                          <w:sz w:val="24"/>
                          <w:szCs w:val="24"/>
                        </w:rPr>
                        <w:t>112.81%</w:t>
                      </w:r>
                    </w:p>
                  </w:txbxContent>
                </v:textbox>
                <w10:wrap type="square" anchorx="page"/>
              </v:shape>
            </w:pict>
          </mc:Fallback>
        </mc:AlternateContent>
      </w:r>
      <w:r w:rsidR="009B531D" w:rsidRPr="002354F1">
        <w:rPr>
          <w:b/>
          <w:bCs/>
          <w:noProof/>
          <w:color w:val="C00000"/>
          <w:sz w:val="36"/>
          <w:szCs w:val="36"/>
        </w:rPr>
        <mc:AlternateContent>
          <mc:Choice Requires="wps">
            <w:drawing>
              <wp:anchor distT="45720" distB="45720" distL="114300" distR="114300" simplePos="0" relativeHeight="251661824" behindDoc="0" locked="0" layoutInCell="1" allowOverlap="1" wp14:anchorId="7D715D52" wp14:editId="24688E83">
                <wp:simplePos x="0" y="0"/>
                <wp:positionH relativeFrom="margin">
                  <wp:posOffset>1705610</wp:posOffset>
                </wp:positionH>
                <wp:positionV relativeFrom="paragraph">
                  <wp:posOffset>523240</wp:posOffset>
                </wp:positionV>
                <wp:extent cx="2105025" cy="395288"/>
                <wp:effectExtent l="0" t="0" r="0" b="508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95288"/>
                        </a:xfrm>
                        <a:prstGeom prst="rect">
                          <a:avLst/>
                        </a:prstGeom>
                        <a:noFill/>
                        <a:ln w="9525">
                          <a:noFill/>
                          <a:miter lim="800000"/>
                          <a:headEnd/>
                          <a:tailEnd/>
                        </a:ln>
                      </wps:spPr>
                      <wps:txbx>
                        <w:txbxContent>
                          <w:p w14:paraId="33BE2DF3" w14:textId="4C9ECA17" w:rsidR="002F08C1" w:rsidRPr="00B94621" w:rsidRDefault="002F08C1" w:rsidP="002F08C1">
                            <w:pPr>
                              <w:rPr>
                                <w:b/>
                                <w:bCs/>
                                <w:sz w:val="28"/>
                                <w:szCs w:val="28"/>
                              </w:rPr>
                            </w:pPr>
                            <w:r w:rsidRPr="00B94621">
                              <w:rPr>
                                <w:b/>
                                <w:bCs/>
                                <w:sz w:val="28"/>
                                <w:szCs w:val="28"/>
                              </w:rPr>
                              <w:t>0</w:t>
                            </w:r>
                            <w:r w:rsidR="005538BB">
                              <w:rPr>
                                <w:b/>
                                <w:bCs/>
                                <w:sz w:val="28"/>
                                <w:szCs w:val="28"/>
                              </w:rPr>
                              <w:t>9</w:t>
                            </w:r>
                            <w:r w:rsidRPr="00B94621">
                              <w:rPr>
                                <w:b/>
                                <w:bCs/>
                                <w:sz w:val="28"/>
                                <w:szCs w:val="28"/>
                              </w:rPr>
                              <w:t>.10.2019 – 0</w:t>
                            </w:r>
                            <w:r w:rsidR="005538BB">
                              <w:rPr>
                                <w:b/>
                                <w:bCs/>
                                <w:sz w:val="28"/>
                                <w:szCs w:val="28"/>
                              </w:rPr>
                              <w:t>9</w:t>
                            </w:r>
                            <w:r w:rsidRPr="00B94621">
                              <w:rPr>
                                <w:b/>
                                <w:bCs/>
                                <w:sz w:val="28"/>
                                <w:szCs w:val="28"/>
                              </w:rPr>
                              <w:t>.10.2020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15D52" id="_x0000_s1027" type="#_x0000_t202" style="position:absolute;margin-left:134.3pt;margin-top:41.2pt;width:165.75pt;height:31.1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" filled="f" stroked="f">
                <v:textbox>
                  <w:txbxContent>
                    <w:p w14:paraId="33BE2DF3" w14:textId="4C9ECA17" w:rsidR="002F08C1" w:rsidRPr="00B94621" w:rsidRDefault="002F08C1" w:rsidP="002F08C1">
                      <w:pPr>
                        <w:rPr>
                          <w:b/>
                          <w:bCs/>
                          <w:sz w:val="28"/>
                          <w:szCs w:val="28"/>
                        </w:rPr>
                      </w:pPr>
                      <w:r w:rsidRPr="00B94621">
                        <w:rPr>
                          <w:b/>
                          <w:bCs/>
                          <w:sz w:val="28"/>
                          <w:szCs w:val="28"/>
                        </w:rPr>
                        <w:t>0</w:t>
                      </w:r>
                      <w:r w:rsidR="005538BB">
                        <w:rPr>
                          <w:b/>
                          <w:bCs/>
                          <w:sz w:val="28"/>
                          <w:szCs w:val="28"/>
                        </w:rPr>
                        <w:t>9</w:t>
                      </w:r>
                      <w:r w:rsidRPr="00B94621">
                        <w:rPr>
                          <w:b/>
                          <w:bCs/>
                          <w:sz w:val="28"/>
                          <w:szCs w:val="28"/>
                        </w:rPr>
                        <w:t>.10.2019 – 0</w:t>
                      </w:r>
                      <w:r w:rsidR="005538BB">
                        <w:rPr>
                          <w:b/>
                          <w:bCs/>
                          <w:sz w:val="28"/>
                          <w:szCs w:val="28"/>
                        </w:rPr>
                        <w:t>9</w:t>
                      </w:r>
                      <w:r w:rsidRPr="00B94621">
                        <w:rPr>
                          <w:b/>
                          <w:bCs/>
                          <w:sz w:val="28"/>
                          <w:szCs w:val="28"/>
                        </w:rPr>
                        <w:t>.10.2020</w:t>
                      </w:r>
                    </w:p>
                  </w:txbxContent>
                </v:textbox>
                <w10:wrap anchorx="margin"/>
              </v:shape>
            </w:pict>
          </mc:Fallback>
        </mc:AlternateContent>
      </w:r>
      <w:r w:rsidR="00DE3BEE" w:rsidRPr="002354F1">
        <w:rPr>
          <w:b/>
          <w:bCs/>
          <w:noProof/>
          <w:color w:val="C00000"/>
          <w:sz w:val="36"/>
          <w:szCs w:val="36"/>
        </w:rPr>
        <mc:AlternateContent>
          <mc:Choice Requires="wps">
            <w:drawing>
              <wp:anchor distT="0" distB="0" distL="114300" distR="114300" simplePos="0" relativeHeight="251657728" behindDoc="0" locked="0" layoutInCell="1" allowOverlap="1" wp14:anchorId="5E3D0041" wp14:editId="18C813BC">
                <wp:simplePos x="0" y="0"/>
                <wp:positionH relativeFrom="margin">
                  <wp:align>left</wp:align>
                </wp:positionH>
                <wp:positionV relativeFrom="paragraph">
                  <wp:posOffset>-92517</wp:posOffset>
                </wp:positionV>
                <wp:extent cx="5969000" cy="82550"/>
                <wp:effectExtent l="0" t="0" r="0" b="0"/>
                <wp:wrapNone/>
                <wp:docPr id="26" name="Rectangle 26"/>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w:pict w14:anchorId="0DE053E9">
              <v:rect id="Rectangle 26" style="position:absolute;margin-left:0;margin-top:-7.3pt;width:470pt;height: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lack [3213]" stroked="f" strokeweight="1pt" w14:anchorId="3C79E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">
                <w10:wrap anchorx="margin"/>
              </v:rect>
            </w:pict>
          </mc:Fallback>
        </mc:AlternateContent>
      </w:r>
      <w:r w:rsidR="00394C7F" w:rsidRPr="002354F1">
        <w:rPr>
          <w:b/>
          <w:bCs/>
          <w:color w:val="C00000"/>
          <w:sz w:val="36"/>
          <w:szCs w:val="36"/>
        </w:rPr>
        <w:t xml:space="preserve">Stock Chart of Past Year </w:t>
      </w:r>
      <w:r w:rsidR="003F251D" w:rsidRPr="002354F1">
        <w:rPr>
          <w:b/>
          <w:bCs/>
          <w:color w:val="C00000"/>
          <w:sz w:val="36"/>
          <w:szCs w:val="36"/>
        </w:rPr>
        <w:t>Growth</w:t>
      </w:r>
      <w:r w:rsidR="00002685" w:rsidRPr="002354F1">
        <w:rPr>
          <w:b/>
          <w:bCs/>
          <w:color w:val="C00000"/>
          <w:sz w:val="36"/>
          <w:szCs w:val="36"/>
        </w:rPr>
        <w:t xml:space="preserve">: </w:t>
      </w:r>
      <w:r w:rsidR="00394C7F" w:rsidRPr="002354F1">
        <w:rPr>
          <w:b/>
          <w:bCs/>
          <w:color w:val="C00000"/>
          <w:sz w:val="36"/>
          <w:szCs w:val="36"/>
        </w:rPr>
        <w:t xml:space="preserve"> </w:t>
      </w:r>
      <w:r w:rsidR="00F02BBB" w:rsidRPr="002354F1">
        <w:rPr>
          <w:b/>
          <w:bCs/>
          <w:color w:val="C00000"/>
          <w:sz w:val="36"/>
          <w:szCs w:val="36"/>
        </w:rPr>
        <w:t xml:space="preserve"> </w:t>
      </w:r>
    </w:p>
    <w:p w14:paraId="06052F7A" w14:textId="08F92FA2" w:rsidR="00394C7F" w:rsidRDefault="00F02BBB">
      <w:pPr>
        <w:rPr>
          <w:b/>
          <w:bCs/>
          <w:color w:val="1F4E79" w:themeColor="accent1" w:themeShade="80"/>
          <w:sz w:val="32"/>
          <w:szCs w:val="32"/>
        </w:rPr>
      </w:pPr>
      <w:r>
        <w:rPr>
          <w:b/>
          <w:bCs/>
          <w:color w:val="1F4E79" w:themeColor="accent1" w:themeShade="80"/>
          <w:sz w:val="32"/>
          <w:szCs w:val="32"/>
        </w:rPr>
        <w:t xml:space="preserve">     </w:t>
      </w:r>
    </w:p>
    <w:p w14:paraId="7B410C67" w14:textId="19EC4CB9" w:rsidR="00002685" w:rsidRDefault="00002685"/>
    <w:p w14:paraId="69B3E908" w14:textId="7F9E6B42" w:rsidR="00002685" w:rsidRDefault="00002685"/>
    <w:p w14:paraId="7F731EC5" w14:textId="2F662F95" w:rsidR="00002685" w:rsidRDefault="00002685"/>
    <w:p w14:paraId="1442227C" w14:textId="343196C0" w:rsidR="00011638" w:rsidRPr="005770BD" w:rsidRDefault="00684B15">
      <w:r>
        <w:rPr>
          <w:b/>
          <w:bCs/>
          <w:noProof/>
          <w:color w:val="5B9BD5" w:themeColor="accent1"/>
          <w:sz w:val="32"/>
          <w:szCs w:val="32"/>
        </w:rPr>
        <mc:AlternateContent>
          <mc:Choice Requires="wps">
            <w:drawing>
              <wp:anchor distT="0" distB="0" distL="114300" distR="114300" simplePos="0" relativeHeight="251649536" behindDoc="0" locked="0" layoutInCell="1" allowOverlap="1" wp14:anchorId="2AC110C8" wp14:editId="4438931B">
                <wp:simplePos x="0" y="0"/>
                <wp:positionH relativeFrom="margin">
                  <wp:align>left</wp:align>
                </wp:positionH>
                <wp:positionV relativeFrom="paragraph">
                  <wp:posOffset>584530</wp:posOffset>
                </wp:positionV>
                <wp:extent cx="5969000" cy="82550"/>
                <wp:effectExtent l="0" t="0" r="0" b="0"/>
                <wp:wrapNone/>
                <wp:docPr id="6" name="Rectangle 6"/>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w:pict w14:anchorId="3A61FC62">
              <v:rect id="Rectangle 6" style="position:absolute;margin-left:0;margin-top:46.05pt;width:470pt;height: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lack [3213]" stroked="f" strokeweight="1pt" w14:anchorId="69574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">
                <w10:wrap anchorx="margin"/>
              </v:rect>
            </w:pict>
          </mc:Fallback>
        </mc:AlternateContent>
      </w:r>
      <w:r w:rsidR="00570F5B" w:rsidRPr="00570F5B">
        <w:rPr>
          <w:rFonts w:ascii="Times New Roman" w:hAnsi="Times New Roman" w:cs="Times New Roman"/>
          <w:sz w:val="24"/>
          <w:szCs w:val="24"/>
        </w:rPr>
        <w:t xml:space="preserve"> </w:t>
      </w:r>
      <w:r w:rsidR="00570F5B" w:rsidRPr="005770BD">
        <w:t>As one of the most authorized institutions who rates the credit of companies, S&amp;P Global has the most advanced information search engine and most updated information source from biggest companies.  It maintains the high performance in the stock market and far beyond the S&amp;P 500.</w:t>
      </w:r>
    </w:p>
    <w:p w14:paraId="444167DA" w14:textId="5DB8F06D" w:rsidR="00090DDF" w:rsidRPr="002354F1" w:rsidRDefault="00090DDF" w:rsidP="00864471">
      <w:pPr>
        <w:rPr>
          <w:b/>
          <w:bCs/>
          <w:color w:val="C00000"/>
          <w:sz w:val="36"/>
          <w:szCs w:val="36"/>
        </w:rPr>
      </w:pPr>
      <w:r w:rsidRPr="002354F1">
        <w:rPr>
          <w:b/>
          <w:bCs/>
          <w:color w:val="C00000"/>
          <w:sz w:val="36"/>
          <w:szCs w:val="36"/>
        </w:rPr>
        <w:t>Peer Analysis:</w:t>
      </w:r>
    </w:p>
    <w:tbl>
      <w:tblPr>
        <w:tblW w:w="10395" w:type="dxa"/>
        <w:tblLook w:val="04A0" w:firstRow="1" w:lastRow="0" w:firstColumn="1" w:lastColumn="0" w:noHBand="0" w:noVBand="1"/>
      </w:tblPr>
      <w:tblGrid>
        <w:gridCol w:w="2079"/>
        <w:gridCol w:w="2079"/>
        <w:gridCol w:w="2079"/>
        <w:gridCol w:w="2079"/>
        <w:gridCol w:w="2079"/>
      </w:tblGrid>
      <w:tr w:rsidR="005770BD" w:rsidRPr="00090DDF" w14:paraId="4D770901" w14:textId="77777777" w:rsidTr="3DC1E8DF">
        <w:trPr>
          <w:trHeight w:val="289"/>
        </w:trPr>
        <w:tc>
          <w:tcPr>
            <w:tcW w:w="2079" w:type="dxa"/>
            <w:tcBorders>
              <w:top w:val="nil"/>
              <w:left w:val="nil"/>
              <w:bottom w:val="nil"/>
              <w:right w:val="nil"/>
            </w:tcBorders>
            <w:shd w:val="clear" w:color="auto" w:fill="auto"/>
            <w:noWrap/>
            <w:vAlign w:val="bottom"/>
          </w:tcPr>
          <w:p w14:paraId="51B39CBF" w14:textId="77777777" w:rsidR="005770BD" w:rsidRDefault="005770BD" w:rsidP="00090DDF">
            <w:pPr>
              <w:spacing w:after="0" w:line="240" w:lineRule="auto"/>
              <w:rPr>
                <w:rFonts w:ascii="Calibri" w:eastAsia="Times New Roman" w:hAnsi="Calibri" w:cs="Calibri"/>
                <w:color w:val="000000"/>
              </w:rPr>
            </w:pPr>
          </w:p>
        </w:tc>
        <w:tc>
          <w:tcPr>
            <w:tcW w:w="2079" w:type="dxa"/>
            <w:tcBorders>
              <w:top w:val="nil"/>
              <w:left w:val="nil"/>
              <w:bottom w:val="nil"/>
              <w:right w:val="nil"/>
            </w:tcBorders>
            <w:shd w:val="clear" w:color="auto" w:fill="9BC2E6"/>
            <w:noWrap/>
            <w:vAlign w:val="bottom"/>
          </w:tcPr>
          <w:p w14:paraId="72911FC1" w14:textId="61552FE2" w:rsidR="005770BD" w:rsidRPr="00090DDF" w:rsidRDefault="005770BD" w:rsidP="00090DD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5770BD">
              <w:rPr>
                <w:rFonts w:ascii="Calibri" w:eastAsia="Times New Roman" w:hAnsi="Calibri" w:cs="Calibri"/>
                <w:color w:val="000000"/>
              </w:rPr>
              <w:t>Market Cap</w:t>
            </w:r>
          </w:p>
        </w:tc>
        <w:tc>
          <w:tcPr>
            <w:tcW w:w="2079" w:type="dxa"/>
            <w:tcBorders>
              <w:top w:val="nil"/>
              <w:left w:val="nil"/>
              <w:bottom w:val="nil"/>
              <w:right w:val="nil"/>
            </w:tcBorders>
            <w:shd w:val="clear" w:color="auto" w:fill="9BC2E6"/>
            <w:noWrap/>
            <w:vAlign w:val="bottom"/>
          </w:tcPr>
          <w:p w14:paraId="447C1D2F" w14:textId="7F26FCD4" w:rsidR="005770BD" w:rsidRDefault="005770BD" w:rsidP="005770BD">
            <w:pPr>
              <w:spacing w:after="0" w:line="240" w:lineRule="auto"/>
              <w:ind w:right="440"/>
              <w:jc w:val="center"/>
              <w:rPr>
                <w:rFonts w:ascii="Calibri" w:eastAsia="Times New Roman" w:hAnsi="Calibri" w:cs="Calibri"/>
                <w:color w:val="000000"/>
              </w:rPr>
            </w:pPr>
            <w:r>
              <w:rPr>
                <w:rFonts w:ascii="Calibri" w:eastAsia="Times New Roman" w:hAnsi="Calibri" w:cs="Calibri"/>
                <w:color w:val="000000"/>
              </w:rPr>
              <w:t xml:space="preserve">        </w:t>
            </w:r>
            <w:r w:rsidRPr="005770BD">
              <w:rPr>
                <w:rFonts w:ascii="Calibri" w:eastAsia="Times New Roman" w:hAnsi="Calibri" w:cs="Calibri"/>
                <w:color w:val="000000"/>
              </w:rPr>
              <w:t>P/E (NTM)</w:t>
            </w:r>
          </w:p>
        </w:tc>
        <w:tc>
          <w:tcPr>
            <w:tcW w:w="2079" w:type="dxa"/>
            <w:tcBorders>
              <w:top w:val="nil"/>
              <w:left w:val="nil"/>
              <w:bottom w:val="nil"/>
              <w:right w:val="nil"/>
            </w:tcBorders>
            <w:shd w:val="clear" w:color="auto" w:fill="9BC2E6"/>
            <w:noWrap/>
            <w:vAlign w:val="bottom"/>
          </w:tcPr>
          <w:p w14:paraId="68786778" w14:textId="0DE91F9A" w:rsidR="005770BD" w:rsidRPr="00090DDF" w:rsidRDefault="005770BD" w:rsidP="00090DDF">
            <w:pPr>
              <w:spacing w:after="0" w:line="240" w:lineRule="auto"/>
              <w:rPr>
                <w:rFonts w:ascii="Calibri" w:eastAsia="Times New Roman" w:hAnsi="Calibri" w:cs="Calibri"/>
                <w:color w:val="000000"/>
              </w:rPr>
            </w:pPr>
            <w:r>
              <w:rPr>
                <w:rFonts w:ascii="Calibri" w:eastAsia="Times New Roman" w:hAnsi="Calibri" w:cs="Calibri"/>
                <w:color w:val="000000"/>
              </w:rPr>
              <w:t xml:space="preserve">                    EPS</w:t>
            </w:r>
          </w:p>
        </w:tc>
        <w:tc>
          <w:tcPr>
            <w:tcW w:w="2079" w:type="dxa"/>
            <w:tcBorders>
              <w:top w:val="nil"/>
              <w:left w:val="nil"/>
              <w:bottom w:val="nil"/>
              <w:right w:val="nil"/>
            </w:tcBorders>
            <w:shd w:val="clear" w:color="auto" w:fill="9BC2E6"/>
            <w:noWrap/>
            <w:vAlign w:val="bottom"/>
          </w:tcPr>
          <w:p w14:paraId="6E2646CD" w14:textId="2686A3FD" w:rsidR="005770BD" w:rsidRDefault="005770BD" w:rsidP="005770BD">
            <w:pPr>
              <w:spacing w:after="0" w:line="240" w:lineRule="auto"/>
              <w:ind w:right="330"/>
              <w:jc w:val="right"/>
              <w:rPr>
                <w:rFonts w:ascii="Calibri" w:eastAsia="Times New Roman" w:hAnsi="Calibri" w:cs="Calibri"/>
                <w:color w:val="000000"/>
              </w:rPr>
            </w:pPr>
            <w:r w:rsidRPr="005770BD">
              <w:rPr>
                <w:rFonts w:ascii="Calibri" w:eastAsia="Times New Roman" w:hAnsi="Calibri" w:cs="Calibri"/>
                <w:color w:val="000000"/>
              </w:rPr>
              <w:t>ROE % (5Year Average)</w:t>
            </w:r>
          </w:p>
        </w:tc>
      </w:tr>
      <w:tr w:rsidR="00090DDF" w:rsidRPr="00090DDF" w14:paraId="2D4DCE4A" w14:textId="77777777" w:rsidTr="3DC1E8DF">
        <w:trPr>
          <w:trHeight w:val="289"/>
        </w:trPr>
        <w:tc>
          <w:tcPr>
            <w:tcW w:w="2079" w:type="dxa"/>
            <w:tcBorders>
              <w:top w:val="nil"/>
              <w:left w:val="nil"/>
              <w:bottom w:val="nil"/>
              <w:right w:val="nil"/>
            </w:tcBorders>
            <w:shd w:val="clear" w:color="auto" w:fill="auto"/>
            <w:noWrap/>
            <w:vAlign w:val="bottom"/>
            <w:hideMark/>
          </w:tcPr>
          <w:p w14:paraId="116E0661" w14:textId="561879D4" w:rsidR="00090DDF" w:rsidRPr="00090DDF" w:rsidRDefault="00570F5B" w:rsidP="00090DDF">
            <w:pPr>
              <w:spacing w:after="0" w:line="240" w:lineRule="auto"/>
              <w:rPr>
                <w:rFonts w:ascii="Calibri" w:eastAsia="Times New Roman" w:hAnsi="Calibri" w:cs="Calibri"/>
                <w:color w:val="000000"/>
              </w:rPr>
            </w:pPr>
            <w:r>
              <w:rPr>
                <w:rFonts w:ascii="Calibri" w:eastAsia="Times New Roman" w:hAnsi="Calibri" w:cs="Calibri"/>
                <w:color w:val="000000"/>
              </w:rPr>
              <w:t>S&amp;P Global</w:t>
            </w:r>
          </w:p>
        </w:tc>
        <w:tc>
          <w:tcPr>
            <w:tcW w:w="2079" w:type="dxa"/>
            <w:tcBorders>
              <w:top w:val="nil"/>
              <w:left w:val="nil"/>
              <w:bottom w:val="nil"/>
              <w:right w:val="nil"/>
            </w:tcBorders>
            <w:shd w:val="clear" w:color="auto" w:fill="9BC2E6"/>
            <w:noWrap/>
            <w:vAlign w:val="bottom"/>
            <w:hideMark/>
          </w:tcPr>
          <w:p w14:paraId="44F76E9C" w14:textId="5992DD31"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BE12C1">
              <w:rPr>
                <w:rFonts w:ascii="Calibri" w:eastAsia="Times New Roman" w:hAnsi="Calibri" w:cs="Calibri"/>
                <w:color w:val="000000"/>
              </w:rPr>
              <w:t xml:space="preserve">  </w:t>
            </w:r>
            <w:r w:rsidRPr="00090DDF">
              <w:rPr>
                <w:rFonts w:ascii="Calibri" w:eastAsia="Times New Roman" w:hAnsi="Calibri" w:cs="Calibri"/>
                <w:color w:val="000000"/>
              </w:rPr>
              <w:t xml:space="preserve"> </w:t>
            </w:r>
            <w:r w:rsidR="00BE12C1">
              <w:rPr>
                <w:rFonts w:ascii="Calibri" w:eastAsia="Times New Roman" w:hAnsi="Calibri" w:cs="Calibri"/>
                <w:color w:val="000000"/>
              </w:rPr>
              <w:t>87</w:t>
            </w:r>
            <w:r w:rsidRPr="00090DDF">
              <w:rPr>
                <w:rFonts w:ascii="Calibri" w:eastAsia="Times New Roman" w:hAnsi="Calibri" w:cs="Calibri"/>
                <w:color w:val="000000"/>
              </w:rPr>
              <w:t xml:space="preserve">.00 </w:t>
            </w:r>
          </w:p>
        </w:tc>
        <w:tc>
          <w:tcPr>
            <w:tcW w:w="2079" w:type="dxa"/>
            <w:tcBorders>
              <w:top w:val="nil"/>
              <w:left w:val="nil"/>
              <w:bottom w:val="nil"/>
              <w:right w:val="nil"/>
            </w:tcBorders>
            <w:shd w:val="clear" w:color="auto" w:fill="9BC2E6"/>
            <w:noWrap/>
            <w:vAlign w:val="bottom"/>
            <w:hideMark/>
          </w:tcPr>
          <w:p w14:paraId="635B396D" w14:textId="6DA99561" w:rsidR="00090DDF" w:rsidRPr="00090DDF" w:rsidRDefault="00570F5B"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27.6</w:t>
            </w:r>
          </w:p>
        </w:tc>
        <w:tc>
          <w:tcPr>
            <w:tcW w:w="2079" w:type="dxa"/>
            <w:tcBorders>
              <w:top w:val="nil"/>
              <w:left w:val="nil"/>
              <w:bottom w:val="nil"/>
              <w:right w:val="nil"/>
            </w:tcBorders>
            <w:shd w:val="clear" w:color="auto" w:fill="9BC2E6"/>
            <w:noWrap/>
            <w:vAlign w:val="bottom"/>
            <w:hideMark/>
          </w:tcPr>
          <w:p w14:paraId="3DB6F3DF" w14:textId="4B41FE7F"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w:t>
            </w:r>
            <w:r w:rsidR="00570F5B">
              <w:rPr>
                <w:rFonts w:ascii="Calibri" w:eastAsia="Times New Roman" w:hAnsi="Calibri" w:cs="Calibri"/>
                <w:color w:val="000000"/>
              </w:rPr>
              <w:t>11.2</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auto" w:fill="9BC2E6"/>
            <w:noWrap/>
            <w:vAlign w:val="bottom"/>
            <w:hideMark/>
          </w:tcPr>
          <w:p w14:paraId="2EB693B8" w14:textId="63776965" w:rsidR="00090DDF" w:rsidRPr="00090DDF" w:rsidRDefault="00570F5B"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616</w:t>
            </w:r>
          </w:p>
        </w:tc>
      </w:tr>
      <w:tr w:rsidR="00090DDF" w:rsidRPr="00090DDF" w14:paraId="247FD937" w14:textId="77777777" w:rsidTr="3DC1E8DF">
        <w:trPr>
          <w:trHeight w:val="289"/>
        </w:trPr>
        <w:tc>
          <w:tcPr>
            <w:tcW w:w="2079" w:type="dxa"/>
            <w:tcBorders>
              <w:top w:val="nil"/>
              <w:left w:val="nil"/>
              <w:bottom w:val="nil"/>
              <w:right w:val="nil"/>
            </w:tcBorders>
            <w:shd w:val="clear" w:color="auto" w:fill="auto"/>
            <w:noWrap/>
            <w:vAlign w:val="bottom"/>
            <w:hideMark/>
          </w:tcPr>
          <w:p w14:paraId="1CEFBB8F" w14:textId="79BB1674" w:rsidR="00090DDF" w:rsidRPr="00090DDF" w:rsidRDefault="005770BD" w:rsidP="00090DDF">
            <w:pPr>
              <w:spacing w:after="0" w:line="240" w:lineRule="auto"/>
              <w:rPr>
                <w:rFonts w:ascii="Calibri" w:eastAsia="Times New Roman" w:hAnsi="Calibri" w:cs="Calibri"/>
                <w:color w:val="000000"/>
              </w:rPr>
            </w:pPr>
            <w:r w:rsidRPr="3DC1E8DF">
              <w:rPr>
                <w:rFonts w:ascii="Calibri" w:eastAsia="Times New Roman" w:hAnsi="Calibri" w:cs="Calibri"/>
                <w:color w:val="000000" w:themeColor="text1"/>
              </w:rPr>
              <w:t>Fact</w:t>
            </w:r>
            <w:r w:rsidR="5341B6FC" w:rsidRPr="3DC1E8DF">
              <w:rPr>
                <w:rFonts w:ascii="Calibri" w:eastAsia="Times New Roman" w:hAnsi="Calibri" w:cs="Calibri"/>
                <w:color w:val="000000" w:themeColor="text1"/>
              </w:rPr>
              <w:t>S</w:t>
            </w:r>
            <w:r w:rsidRPr="3DC1E8DF">
              <w:rPr>
                <w:rFonts w:ascii="Calibri" w:eastAsia="Times New Roman" w:hAnsi="Calibri" w:cs="Calibri"/>
                <w:color w:val="000000" w:themeColor="text1"/>
              </w:rPr>
              <w:t>et</w:t>
            </w:r>
          </w:p>
        </w:tc>
        <w:tc>
          <w:tcPr>
            <w:tcW w:w="2079" w:type="dxa"/>
            <w:tcBorders>
              <w:top w:val="nil"/>
              <w:left w:val="nil"/>
              <w:bottom w:val="nil"/>
              <w:right w:val="nil"/>
            </w:tcBorders>
            <w:shd w:val="clear" w:color="auto" w:fill="auto"/>
            <w:noWrap/>
            <w:vAlign w:val="bottom"/>
            <w:hideMark/>
          </w:tcPr>
          <w:p w14:paraId="33FB2C26" w14:textId="2B9D3724"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5770BD">
              <w:rPr>
                <w:rFonts w:ascii="Calibri" w:eastAsia="Times New Roman" w:hAnsi="Calibri" w:cs="Calibri"/>
                <w:color w:val="000000"/>
              </w:rPr>
              <w:t xml:space="preserve">  13.34</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auto" w:fill="auto"/>
            <w:noWrap/>
            <w:vAlign w:val="bottom"/>
            <w:hideMark/>
          </w:tcPr>
          <w:p w14:paraId="45D9876B" w14:textId="7987D52F" w:rsidR="00090DDF" w:rsidRPr="00090DDF" w:rsidRDefault="005770BD"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31</w:t>
            </w:r>
          </w:p>
        </w:tc>
        <w:tc>
          <w:tcPr>
            <w:tcW w:w="2079" w:type="dxa"/>
            <w:tcBorders>
              <w:top w:val="nil"/>
              <w:left w:val="nil"/>
              <w:bottom w:val="nil"/>
              <w:right w:val="nil"/>
            </w:tcBorders>
            <w:shd w:val="clear" w:color="auto" w:fill="auto"/>
            <w:noWrap/>
            <w:vAlign w:val="bottom"/>
            <w:hideMark/>
          </w:tcPr>
          <w:p w14:paraId="452CF700" w14:textId="793C1CBC"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w:t>
            </w:r>
            <w:r w:rsidR="00570F5B">
              <w:rPr>
                <w:rFonts w:ascii="Calibri" w:eastAsia="Times New Roman" w:hAnsi="Calibri" w:cs="Calibri"/>
                <w:color w:val="000000"/>
              </w:rPr>
              <w:t xml:space="preserve">   </w:t>
            </w:r>
            <w:r w:rsidR="005770BD">
              <w:rPr>
                <w:rFonts w:ascii="Calibri" w:eastAsia="Times New Roman" w:hAnsi="Calibri" w:cs="Calibri"/>
                <w:color w:val="000000"/>
              </w:rPr>
              <w:t xml:space="preserve"> 6.3</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auto" w:fill="auto"/>
            <w:noWrap/>
            <w:vAlign w:val="bottom"/>
            <w:hideMark/>
          </w:tcPr>
          <w:p w14:paraId="690CA0C0" w14:textId="0ED70A85" w:rsidR="00090DDF" w:rsidRPr="00090DDF" w:rsidRDefault="005770BD"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47</w:t>
            </w:r>
          </w:p>
        </w:tc>
      </w:tr>
      <w:tr w:rsidR="00090DDF" w:rsidRPr="00090DDF" w14:paraId="532322D1" w14:textId="77777777" w:rsidTr="3DC1E8DF">
        <w:trPr>
          <w:trHeight w:val="289"/>
        </w:trPr>
        <w:tc>
          <w:tcPr>
            <w:tcW w:w="2079" w:type="dxa"/>
            <w:tcBorders>
              <w:top w:val="nil"/>
              <w:left w:val="nil"/>
              <w:bottom w:val="nil"/>
              <w:right w:val="nil"/>
            </w:tcBorders>
            <w:shd w:val="clear" w:color="auto" w:fill="auto"/>
            <w:noWrap/>
            <w:vAlign w:val="bottom"/>
            <w:hideMark/>
          </w:tcPr>
          <w:p w14:paraId="57BCE94C" w14:textId="5BDE372A" w:rsidR="00090DDF" w:rsidRPr="00090DDF" w:rsidRDefault="00570F5B" w:rsidP="00090DDF">
            <w:pPr>
              <w:spacing w:after="0" w:line="240" w:lineRule="auto"/>
              <w:rPr>
                <w:rFonts w:ascii="Calibri" w:eastAsia="Times New Roman" w:hAnsi="Calibri" w:cs="Calibri"/>
                <w:color w:val="000000"/>
              </w:rPr>
            </w:pPr>
            <w:r>
              <w:rPr>
                <w:rFonts w:ascii="Calibri" w:eastAsia="Times New Roman" w:hAnsi="Calibri" w:cs="Calibri"/>
                <w:color w:val="000000"/>
              </w:rPr>
              <w:t>Moody’s</w:t>
            </w:r>
          </w:p>
        </w:tc>
        <w:tc>
          <w:tcPr>
            <w:tcW w:w="2079" w:type="dxa"/>
            <w:tcBorders>
              <w:top w:val="nil"/>
              <w:left w:val="nil"/>
              <w:bottom w:val="nil"/>
              <w:right w:val="nil"/>
            </w:tcBorders>
            <w:shd w:val="clear" w:color="auto" w:fill="auto"/>
            <w:noWrap/>
            <w:vAlign w:val="bottom"/>
            <w:hideMark/>
          </w:tcPr>
          <w:p w14:paraId="054EEC0B" w14:textId="5FC780D3"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D44115">
              <w:rPr>
                <w:rFonts w:ascii="Calibri" w:eastAsia="Times New Roman" w:hAnsi="Calibri" w:cs="Calibri"/>
                <w:color w:val="000000"/>
              </w:rPr>
              <w:t xml:space="preserve">  </w:t>
            </w:r>
            <w:r w:rsidR="005770BD">
              <w:rPr>
                <w:rFonts w:ascii="Calibri" w:eastAsia="Times New Roman" w:hAnsi="Calibri" w:cs="Calibri"/>
                <w:color w:val="000000"/>
              </w:rPr>
              <w:t>51.94</w:t>
            </w:r>
          </w:p>
        </w:tc>
        <w:tc>
          <w:tcPr>
            <w:tcW w:w="2079" w:type="dxa"/>
            <w:tcBorders>
              <w:top w:val="nil"/>
              <w:left w:val="nil"/>
              <w:bottom w:val="nil"/>
              <w:right w:val="nil"/>
            </w:tcBorders>
            <w:shd w:val="clear" w:color="auto" w:fill="auto"/>
            <w:noWrap/>
            <w:vAlign w:val="bottom"/>
            <w:hideMark/>
          </w:tcPr>
          <w:p w14:paraId="3FC216E5" w14:textId="210C0506" w:rsidR="00090DDF" w:rsidRPr="00090DDF" w:rsidRDefault="00570F5B"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27.2</w:t>
            </w:r>
          </w:p>
        </w:tc>
        <w:tc>
          <w:tcPr>
            <w:tcW w:w="2079" w:type="dxa"/>
            <w:tcBorders>
              <w:top w:val="nil"/>
              <w:left w:val="nil"/>
              <w:bottom w:val="nil"/>
              <w:right w:val="nil"/>
            </w:tcBorders>
            <w:shd w:val="clear" w:color="auto" w:fill="auto"/>
            <w:noWrap/>
            <w:vAlign w:val="bottom"/>
            <w:hideMark/>
          </w:tcPr>
          <w:p w14:paraId="13F5322D" w14:textId="1E3CC6C0"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w:t>
            </w:r>
            <w:r w:rsidR="004C6109">
              <w:rPr>
                <w:rFonts w:ascii="Calibri" w:eastAsia="Times New Roman" w:hAnsi="Calibri" w:cs="Calibri"/>
                <w:color w:val="000000"/>
              </w:rPr>
              <w:t xml:space="preserve">  </w:t>
            </w:r>
            <w:r w:rsidR="00570F5B">
              <w:rPr>
                <w:rFonts w:ascii="Calibri" w:eastAsia="Times New Roman" w:hAnsi="Calibri" w:cs="Calibri"/>
                <w:color w:val="000000"/>
              </w:rPr>
              <w:t xml:space="preserve"> 10.1</w:t>
            </w:r>
          </w:p>
        </w:tc>
        <w:tc>
          <w:tcPr>
            <w:tcW w:w="2079" w:type="dxa"/>
            <w:tcBorders>
              <w:top w:val="nil"/>
              <w:left w:val="nil"/>
              <w:bottom w:val="nil"/>
              <w:right w:val="nil"/>
            </w:tcBorders>
            <w:shd w:val="clear" w:color="auto" w:fill="auto"/>
            <w:noWrap/>
            <w:vAlign w:val="bottom"/>
            <w:hideMark/>
          </w:tcPr>
          <w:p w14:paraId="409299CD" w14:textId="120D855E" w:rsidR="00090DDF" w:rsidRPr="00090DDF" w:rsidRDefault="00570F5B"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185.1</w:t>
            </w:r>
          </w:p>
        </w:tc>
      </w:tr>
      <w:tr w:rsidR="00090DDF" w:rsidRPr="00090DDF" w14:paraId="2DE5D5CB" w14:textId="77777777" w:rsidTr="3DC1E8DF">
        <w:trPr>
          <w:trHeight w:val="289"/>
        </w:trPr>
        <w:tc>
          <w:tcPr>
            <w:tcW w:w="2079" w:type="dxa"/>
            <w:tcBorders>
              <w:top w:val="nil"/>
              <w:left w:val="nil"/>
              <w:bottom w:val="nil"/>
              <w:right w:val="nil"/>
            </w:tcBorders>
            <w:shd w:val="clear" w:color="auto" w:fill="auto"/>
            <w:noWrap/>
            <w:vAlign w:val="bottom"/>
            <w:hideMark/>
          </w:tcPr>
          <w:p w14:paraId="05FB817F" w14:textId="27726EC0" w:rsidR="00090DDF" w:rsidRPr="0004238A" w:rsidRDefault="00570F5B" w:rsidP="00090DDF">
            <w:pPr>
              <w:spacing w:after="0" w:line="240" w:lineRule="auto"/>
              <w:rPr>
                <w:rFonts w:ascii="Calibri" w:eastAsia="DengXian" w:hAnsi="Calibri" w:cs="Calibri"/>
                <w:color w:val="000000"/>
                <w:lang w:eastAsia="zh-CN"/>
              </w:rPr>
            </w:pPr>
            <w:r>
              <w:rPr>
                <w:rFonts w:ascii="Calibri" w:eastAsia="Times New Roman" w:hAnsi="Calibri" w:cs="Calibri"/>
                <w:color w:val="000000"/>
              </w:rPr>
              <w:t>MSCI Inc A</w:t>
            </w:r>
          </w:p>
        </w:tc>
        <w:tc>
          <w:tcPr>
            <w:tcW w:w="2079" w:type="dxa"/>
            <w:tcBorders>
              <w:top w:val="nil"/>
              <w:left w:val="nil"/>
              <w:bottom w:val="nil"/>
              <w:right w:val="nil"/>
            </w:tcBorders>
            <w:shd w:val="clear" w:color="auto" w:fill="auto"/>
            <w:noWrap/>
            <w:vAlign w:val="bottom"/>
            <w:hideMark/>
          </w:tcPr>
          <w:p w14:paraId="1CA3A940" w14:textId="0D715A5F"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BE12C1">
              <w:rPr>
                <w:rFonts w:ascii="Calibri" w:eastAsia="Times New Roman" w:hAnsi="Calibri" w:cs="Calibri"/>
                <w:color w:val="000000"/>
              </w:rPr>
              <w:t xml:space="preserve">  </w:t>
            </w:r>
            <w:r w:rsidR="005770BD">
              <w:rPr>
                <w:rFonts w:ascii="Calibri" w:eastAsia="Times New Roman" w:hAnsi="Calibri" w:cs="Calibri"/>
                <w:color w:val="000000"/>
              </w:rPr>
              <w:t>34.95</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auto" w:fill="auto"/>
            <w:noWrap/>
            <w:vAlign w:val="bottom"/>
            <w:hideMark/>
          </w:tcPr>
          <w:p w14:paraId="4DA0B3FF" w14:textId="7873E8E6" w:rsidR="00090DDF" w:rsidRPr="00090DDF" w:rsidRDefault="00570F5B"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50.1</w:t>
            </w:r>
          </w:p>
        </w:tc>
        <w:tc>
          <w:tcPr>
            <w:tcW w:w="2079" w:type="dxa"/>
            <w:tcBorders>
              <w:top w:val="nil"/>
              <w:left w:val="nil"/>
              <w:bottom w:val="nil"/>
              <w:right w:val="nil"/>
            </w:tcBorders>
            <w:shd w:val="clear" w:color="auto" w:fill="auto"/>
            <w:noWrap/>
            <w:vAlign w:val="bottom"/>
            <w:hideMark/>
          </w:tcPr>
          <w:p w14:paraId="29261CDF" w14:textId="5ED8B3F9"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w:t>
            </w:r>
            <w:r w:rsidR="00570F5B">
              <w:rPr>
                <w:rFonts w:ascii="Calibri" w:eastAsia="Times New Roman" w:hAnsi="Calibri" w:cs="Calibri"/>
                <w:color w:val="000000"/>
              </w:rPr>
              <w:t>16.4</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auto" w:fill="auto"/>
            <w:noWrap/>
            <w:vAlign w:val="bottom"/>
            <w:hideMark/>
          </w:tcPr>
          <w:p w14:paraId="362E6BAE" w14:textId="52EB621F" w:rsidR="00090DDF" w:rsidRPr="00090DDF" w:rsidRDefault="00570F5B"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090DDF" w:rsidRPr="00090DDF" w14:paraId="3C591998" w14:textId="77777777" w:rsidTr="3DC1E8DF">
        <w:trPr>
          <w:trHeight w:val="289"/>
        </w:trPr>
        <w:tc>
          <w:tcPr>
            <w:tcW w:w="2079" w:type="dxa"/>
            <w:tcBorders>
              <w:top w:val="nil"/>
              <w:left w:val="nil"/>
              <w:bottom w:val="nil"/>
              <w:right w:val="nil"/>
            </w:tcBorders>
            <w:shd w:val="clear" w:color="auto" w:fill="FFFF00"/>
            <w:noWrap/>
            <w:vAlign w:val="bottom"/>
            <w:hideMark/>
          </w:tcPr>
          <w:p w14:paraId="65478F95" w14:textId="0570549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Peer Average</w:t>
            </w:r>
          </w:p>
        </w:tc>
        <w:tc>
          <w:tcPr>
            <w:tcW w:w="2079" w:type="dxa"/>
            <w:tcBorders>
              <w:top w:val="nil"/>
              <w:left w:val="nil"/>
              <w:bottom w:val="nil"/>
              <w:right w:val="nil"/>
            </w:tcBorders>
            <w:shd w:val="clear" w:color="auto" w:fill="FFFF00"/>
            <w:noWrap/>
            <w:vAlign w:val="bottom"/>
            <w:hideMark/>
          </w:tcPr>
          <w:p w14:paraId="055C21DF" w14:textId="36C39725"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D44115">
              <w:rPr>
                <w:rFonts w:ascii="Calibri" w:eastAsia="Times New Roman" w:hAnsi="Calibri" w:cs="Calibri"/>
                <w:color w:val="000000"/>
              </w:rPr>
              <w:t xml:space="preserve">  </w:t>
            </w:r>
            <w:r w:rsidR="004C6109">
              <w:rPr>
                <w:rFonts w:ascii="Calibri" w:eastAsia="Times New Roman" w:hAnsi="Calibri" w:cs="Calibri"/>
                <w:color w:val="000000"/>
              </w:rPr>
              <w:t>135.9</w:t>
            </w:r>
          </w:p>
        </w:tc>
        <w:tc>
          <w:tcPr>
            <w:tcW w:w="2079" w:type="dxa"/>
            <w:tcBorders>
              <w:top w:val="nil"/>
              <w:left w:val="nil"/>
              <w:bottom w:val="nil"/>
              <w:right w:val="nil"/>
            </w:tcBorders>
            <w:shd w:val="clear" w:color="auto" w:fill="FFFF00"/>
            <w:noWrap/>
            <w:vAlign w:val="bottom"/>
            <w:hideMark/>
          </w:tcPr>
          <w:p w14:paraId="3A8C1A37" w14:textId="304F2E6A" w:rsidR="00090DDF" w:rsidRPr="00090DDF" w:rsidRDefault="00570F5B"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34</w:t>
            </w:r>
          </w:p>
        </w:tc>
        <w:tc>
          <w:tcPr>
            <w:tcW w:w="2079" w:type="dxa"/>
            <w:tcBorders>
              <w:top w:val="nil"/>
              <w:left w:val="nil"/>
              <w:bottom w:val="nil"/>
              <w:right w:val="nil"/>
            </w:tcBorders>
            <w:shd w:val="clear" w:color="auto" w:fill="FFFF00"/>
            <w:noWrap/>
            <w:vAlign w:val="bottom"/>
            <w:hideMark/>
          </w:tcPr>
          <w:p w14:paraId="2BD67E48" w14:textId="2C0CC9F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w:t>
            </w:r>
            <w:r w:rsidR="005770BD">
              <w:rPr>
                <w:rFonts w:ascii="Calibri" w:eastAsia="Times New Roman" w:hAnsi="Calibri" w:cs="Calibri"/>
                <w:color w:val="000000"/>
              </w:rPr>
              <w:t xml:space="preserve">       </w:t>
            </w:r>
            <w:r w:rsidR="007D1C4F">
              <w:rPr>
                <w:rFonts w:ascii="Calibri" w:eastAsia="Times New Roman" w:hAnsi="Calibri" w:cs="Calibri"/>
                <w:color w:val="000000"/>
              </w:rPr>
              <w:t xml:space="preserve"> </w:t>
            </w:r>
            <w:r w:rsidR="00570F5B">
              <w:rPr>
                <w:rFonts w:ascii="Calibri" w:eastAsia="Times New Roman" w:hAnsi="Calibri" w:cs="Calibri"/>
                <w:color w:val="000000"/>
              </w:rPr>
              <w:t>6</w:t>
            </w:r>
          </w:p>
        </w:tc>
        <w:tc>
          <w:tcPr>
            <w:tcW w:w="2079" w:type="dxa"/>
            <w:tcBorders>
              <w:top w:val="nil"/>
              <w:left w:val="nil"/>
              <w:bottom w:val="nil"/>
              <w:right w:val="nil"/>
            </w:tcBorders>
            <w:shd w:val="clear" w:color="auto" w:fill="FFFF00"/>
            <w:noWrap/>
            <w:vAlign w:val="bottom"/>
            <w:hideMark/>
          </w:tcPr>
          <w:p w14:paraId="5EB762E0" w14:textId="20F6744A" w:rsidR="00090DDF" w:rsidRPr="00090DDF" w:rsidRDefault="00570F5B"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61</w:t>
            </w:r>
          </w:p>
        </w:tc>
      </w:tr>
    </w:tbl>
    <w:p w14:paraId="0ED44D81" w14:textId="4ADE93F9" w:rsidR="00761A05" w:rsidRDefault="00570F5B" w:rsidP="00E37220">
      <w:pPr>
        <w:outlineLvl w:val="0"/>
      </w:pPr>
      <w:r>
        <w:rPr>
          <w:b/>
          <w:bCs/>
          <w:noProof/>
          <w:color w:val="5B9BD5" w:themeColor="accent1"/>
          <w:sz w:val="32"/>
          <w:szCs w:val="32"/>
        </w:rPr>
        <mc:AlternateContent>
          <mc:Choice Requires="wps">
            <w:drawing>
              <wp:anchor distT="0" distB="0" distL="114300" distR="114300" simplePos="0" relativeHeight="251663872" behindDoc="0" locked="0" layoutInCell="1" allowOverlap="1" wp14:anchorId="6A006B4F" wp14:editId="7774F3DE">
                <wp:simplePos x="0" y="0"/>
                <wp:positionH relativeFrom="margin">
                  <wp:align>center</wp:align>
                </wp:positionH>
                <wp:positionV relativeFrom="paragraph">
                  <wp:posOffset>613410</wp:posOffset>
                </wp:positionV>
                <wp:extent cx="5969000" cy="82550"/>
                <wp:effectExtent l="0" t="0" r="0" b="0"/>
                <wp:wrapNone/>
                <wp:docPr id="39" name="Rectangle 39"/>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w:pict w14:anchorId="2F49DE74">
              <v:rect id="Rectangle 39" style="position:absolute;margin-left:0;margin-top:48.3pt;width:470pt;height:6.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black [3213]" stroked="f" strokeweight="1pt" w14:anchorId="067F6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">
                <w10:wrap anchorx="margin"/>
              </v:rect>
            </w:pict>
          </mc:Fallback>
        </mc:AlternateContent>
      </w:r>
      <w:r w:rsidR="00F90AF6">
        <w:t xml:space="preserve"> </w:t>
      </w:r>
      <w:r w:rsidRPr="00570F5B">
        <w:t>S&amp;P had the astonishing ROE with excellent performance recent years. Compared with its rivals, S&amp;P Global has standard performance in each area. It focus</w:t>
      </w:r>
      <w:r w:rsidR="005770BD">
        <w:t>es</w:t>
      </w:r>
      <w:r w:rsidRPr="00570F5B">
        <w:t xml:space="preserve"> more on the gigantic and global financial sectors and offer the instant information above the world.</w:t>
      </w:r>
    </w:p>
    <w:p w14:paraId="247C21AE" w14:textId="5E769A2C" w:rsidR="003105CC" w:rsidRPr="00E5326A" w:rsidRDefault="002128C4">
      <w:pPr>
        <w:rPr>
          <w:b/>
          <w:bCs/>
          <w:color w:val="C00000"/>
          <w:sz w:val="36"/>
          <w:szCs w:val="36"/>
        </w:rPr>
      </w:pPr>
      <w:r w:rsidRPr="002354F1">
        <w:rPr>
          <w:b/>
          <w:bCs/>
          <w:color w:val="C00000"/>
          <w:sz w:val="36"/>
          <w:szCs w:val="36"/>
        </w:rPr>
        <w:t>Ownership</w:t>
      </w:r>
      <w:r w:rsidR="007F2B02" w:rsidRPr="002354F1">
        <w:rPr>
          <w:b/>
          <w:bCs/>
          <w:color w:val="C00000"/>
          <w:sz w:val="36"/>
          <w:szCs w:val="36"/>
        </w:rPr>
        <w:t>:</w:t>
      </w:r>
    </w:p>
    <w:p w14:paraId="24233536" w14:textId="77777777" w:rsidR="003105CC" w:rsidRDefault="003105CC">
      <w:pPr>
        <w:rPr>
          <w:b/>
          <w:bCs/>
          <w:color w:val="2E74B5" w:themeColor="accent1" w:themeShade="BF"/>
          <w:sz w:val="24"/>
          <w:szCs w:val="24"/>
        </w:rPr>
      </w:pPr>
    </w:p>
    <w:p w14:paraId="001E30BB" w14:textId="000B0FF9" w:rsidR="002128C4" w:rsidRPr="00A44BF5" w:rsidRDefault="00A608EF" w:rsidP="17C8ABB9">
      <w:r w:rsidRPr="17C8ABB9">
        <w:rPr>
          <w:b/>
          <w:bCs/>
          <w:color w:val="2E74B5" w:themeColor="accent1" w:themeShade="BF"/>
          <w:sz w:val="24"/>
          <w:szCs w:val="24"/>
        </w:rPr>
        <w:t>Insider VS Institutional/Mutual Funds</w:t>
      </w:r>
      <w:r w:rsidR="00556883" w:rsidRPr="17C8ABB9">
        <w:rPr>
          <w:b/>
          <w:bCs/>
          <w:color w:val="2E74B5" w:themeColor="accent1" w:themeShade="BF"/>
          <w:sz w:val="24"/>
          <w:szCs w:val="24"/>
        </w:rPr>
        <w:t xml:space="preserve">                           </w:t>
      </w:r>
      <w:r w:rsidR="00A44BF5">
        <w:rPr>
          <w:noProof/>
        </w:rPr>
        <w:drawing>
          <wp:anchor distT="0" distB="0" distL="114300" distR="114300" simplePos="0" relativeHeight="251650560" behindDoc="1" locked="0" layoutInCell="1" allowOverlap="1" wp14:anchorId="3B5844D1" wp14:editId="40365942">
            <wp:simplePos x="0" y="0"/>
            <wp:positionH relativeFrom="margin">
              <wp:align>left</wp:align>
            </wp:positionH>
            <wp:positionV relativeFrom="paragraph">
              <wp:posOffset>302260</wp:posOffset>
            </wp:positionV>
            <wp:extent cx="3192780" cy="1725871"/>
            <wp:effectExtent l="0" t="0" r="7620" b="8255"/>
            <wp:wrapNone/>
            <wp:docPr id="18993877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2">
                      <a:extLst>
                        <a:ext uri="{28A0092B-C50C-407E-A947-70E740481C1C}">
                          <a14:useLocalDpi xmlns:a14="http://schemas.microsoft.com/office/drawing/2010/main" val="0"/>
                        </a:ext>
                      </a:extLst>
                    </a:blip>
                    <a:stretch>
                      <a:fillRect/>
                    </a:stretch>
                  </pic:blipFill>
                  <pic:spPr>
                    <a:xfrm>
                      <a:off x="0" y="0"/>
                      <a:ext cx="3192780" cy="1725871"/>
                    </a:xfrm>
                    <a:prstGeom prst="rect">
                      <a:avLst/>
                    </a:prstGeom>
                  </pic:spPr>
                </pic:pic>
              </a:graphicData>
            </a:graphic>
            <wp14:sizeRelH relativeFrom="page">
              <wp14:pctWidth>0</wp14:pctWidth>
            </wp14:sizeRelH>
            <wp14:sizeRelV relativeFrom="page">
              <wp14:pctHeight>0</wp14:pctHeight>
            </wp14:sizeRelV>
          </wp:anchor>
        </w:drawing>
      </w:r>
    </w:p>
    <w:p w14:paraId="1ED376CE" w14:textId="0617995C" w:rsidR="002128C4" w:rsidRPr="00761A05" w:rsidRDefault="002128C4" w:rsidP="17C8ABB9"/>
    <w:p w14:paraId="4EDB4E67" w14:textId="06FB6AFC" w:rsidR="002128C4" w:rsidRPr="00761A05" w:rsidRDefault="002128C4" w:rsidP="17C8ABB9"/>
    <w:p w14:paraId="7A32E994" w14:textId="06FB6AFC" w:rsidR="3DC1E8DF" w:rsidRDefault="3DC1E8DF" w:rsidP="3DC1E8DF"/>
    <w:p w14:paraId="3A4F9453" w14:textId="06FB6AFC" w:rsidR="3DC1E8DF" w:rsidRDefault="3DC1E8DF" w:rsidP="3DC1E8DF"/>
    <w:p w14:paraId="4BBFC446" w14:textId="06FB6AFC" w:rsidR="3DC1E8DF" w:rsidRDefault="3DC1E8DF" w:rsidP="3DC1E8DF"/>
    <w:p w14:paraId="734C8C89" w14:textId="77777777" w:rsidR="003105CC" w:rsidRDefault="003105CC" w:rsidP="17C8ABB9">
      <w:pPr>
        <w:rPr>
          <w:b/>
          <w:bCs/>
          <w:color w:val="2E74B5" w:themeColor="accent1" w:themeShade="BF"/>
          <w:sz w:val="24"/>
          <w:szCs w:val="24"/>
        </w:rPr>
      </w:pPr>
    </w:p>
    <w:p w14:paraId="0ECB4CDB" w14:textId="6784F20D" w:rsidR="002128C4" w:rsidRPr="00761A05" w:rsidRDefault="00556883" w:rsidP="17C8ABB9">
      <w:r w:rsidRPr="3DC1E8DF">
        <w:rPr>
          <w:b/>
          <w:bCs/>
          <w:color w:val="2E74B5" w:themeColor="accent1" w:themeShade="BF"/>
          <w:sz w:val="24"/>
          <w:szCs w:val="24"/>
        </w:rPr>
        <w:t>Top 5 Shareholders</w:t>
      </w:r>
      <w:r w:rsidR="00E5326A">
        <w:t>:</w:t>
      </w:r>
    </w:p>
    <w:p w14:paraId="1D85ACF0" w14:textId="008A3D13" w:rsidR="002128C4" w:rsidRPr="00761A05" w:rsidRDefault="00FF6E4E" w:rsidP="17C8ABB9">
      <w:r>
        <w:t xml:space="preserve">          </w:t>
      </w:r>
      <w:r w:rsidR="00515874">
        <w:t xml:space="preserve"> </w:t>
      </w:r>
      <w:r w:rsidR="00795901" w:rsidRPr="00CD03D8">
        <w:rPr>
          <w:rFonts w:hint="eastAsia"/>
          <w:noProof/>
          <w:color w:val="DD1111"/>
          <w:shd w:val="clear" w:color="auto" w:fill="E7E6E6" w:themeFill="background2"/>
        </w:rPr>
        <w:drawing>
          <wp:inline distT="0" distB="0" distL="0" distR="0" wp14:anchorId="5255BA3F" wp14:editId="7246DC79">
            <wp:extent cx="4267200" cy="27660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2128C4" w:rsidRPr="00761A05">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83659" w14:textId="77777777" w:rsidR="000B6A3D" w:rsidRDefault="000B6A3D" w:rsidP="00A34EFB">
      <w:pPr>
        <w:spacing w:after="0" w:line="240" w:lineRule="auto"/>
      </w:pPr>
      <w:r>
        <w:separator/>
      </w:r>
    </w:p>
  </w:endnote>
  <w:endnote w:type="continuationSeparator" w:id="0">
    <w:p w14:paraId="52B6F4F0" w14:textId="77777777" w:rsidR="000B6A3D" w:rsidRDefault="000B6A3D" w:rsidP="00A34EFB">
      <w:pPr>
        <w:spacing w:after="0" w:line="240" w:lineRule="auto"/>
      </w:pPr>
      <w:r>
        <w:continuationSeparator/>
      </w:r>
    </w:p>
  </w:endnote>
  <w:endnote w:type="continuationNotice" w:id="1">
    <w:p w14:paraId="4C038EEB" w14:textId="77777777" w:rsidR="000B6A3D" w:rsidRDefault="000B6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arlow Solid Italic">
    <w:panose1 w:val="04030604020F02020D02"/>
    <w:charset w:val="00"/>
    <w:family w:val="decorativ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1D7C5E" w:rsidRPr="001D7C5E">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708A" w14:textId="77777777" w:rsidR="000B6A3D" w:rsidRDefault="000B6A3D" w:rsidP="00A34EFB">
      <w:pPr>
        <w:spacing w:after="0" w:line="240" w:lineRule="auto"/>
      </w:pPr>
      <w:r>
        <w:separator/>
      </w:r>
    </w:p>
  </w:footnote>
  <w:footnote w:type="continuationSeparator" w:id="0">
    <w:p w14:paraId="6509629D" w14:textId="77777777" w:rsidR="000B6A3D" w:rsidRDefault="000B6A3D" w:rsidP="00A34EFB">
      <w:pPr>
        <w:spacing w:after="0" w:line="240" w:lineRule="auto"/>
      </w:pPr>
      <w:r>
        <w:continuationSeparator/>
      </w:r>
    </w:p>
  </w:footnote>
  <w:footnote w:type="continuationNotice" w:id="1">
    <w:p w14:paraId="42EC1508" w14:textId="77777777" w:rsidR="000B6A3D" w:rsidRDefault="000B6A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27B2" w14:textId="00BF1BA3" w:rsidR="0009473A"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658240"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17C8ABB9" w:rsidRPr="17C8ABB9">
      <w:rPr>
        <w:rFonts w:asciiTheme="minorHAnsi" w:eastAsiaTheme="minorEastAsia" w:hAnsiTheme="minorHAnsi" w:cstheme="minorBidi"/>
        <w:b/>
        <w:bCs/>
        <w:color w:val="1F4E79" w:themeColor="accent1" w:themeShade="80"/>
        <w:kern w:val="24"/>
      </w:rPr>
      <w:t xml:space="preserve">UWEC Student Managed Investment Fund </w:t>
    </w:r>
  </w:p>
  <w:p w14:paraId="60000171" w14:textId="1E8CCADA" w:rsidR="00475F7E" w:rsidRPr="00CF54C8" w:rsidRDefault="00EB554D"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Pr>
        <w:rFonts w:asciiTheme="minorHAnsi" w:eastAsiaTheme="minorEastAsia" w:hAnsiTheme="minorHAnsi" w:cstheme="minorHAnsi"/>
        <w:b/>
        <w:color w:val="1F4E79" w:themeColor="accent1" w:themeShade="80"/>
        <w:kern w:val="24"/>
      </w:rPr>
      <w:t>Fall</w:t>
    </w:r>
    <w:r w:rsidR="00FC669A">
      <w:rPr>
        <w:rFonts w:asciiTheme="minorHAnsi" w:eastAsiaTheme="minorEastAsia" w:hAnsiTheme="minorHAnsi" w:cstheme="minorHAnsi"/>
        <w:b/>
        <w:color w:val="1F4E79" w:themeColor="accent1" w:themeShade="80"/>
        <w:kern w:val="24"/>
      </w:rPr>
      <w:t xml:space="preserve"> 2020</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004E"/>
    <w:multiLevelType w:val="hybridMultilevel"/>
    <w:tmpl w:val="D72E81CC"/>
    <w:lvl w:ilvl="0" w:tplc="F3161FA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A1309"/>
    <w:multiLevelType w:val="hybridMultilevel"/>
    <w:tmpl w:val="E924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34EFB"/>
    <w:rsid w:val="00002685"/>
    <w:rsid w:val="00003826"/>
    <w:rsid w:val="00005883"/>
    <w:rsid w:val="000077D8"/>
    <w:rsid w:val="00007DA2"/>
    <w:rsid w:val="00010149"/>
    <w:rsid w:val="00011638"/>
    <w:rsid w:val="0001303D"/>
    <w:rsid w:val="000138ED"/>
    <w:rsid w:val="00015084"/>
    <w:rsid w:val="000216F5"/>
    <w:rsid w:val="00026C28"/>
    <w:rsid w:val="0003032E"/>
    <w:rsid w:val="00032679"/>
    <w:rsid w:val="00032AF3"/>
    <w:rsid w:val="0003735F"/>
    <w:rsid w:val="000375FF"/>
    <w:rsid w:val="0004238A"/>
    <w:rsid w:val="000446E9"/>
    <w:rsid w:val="00044952"/>
    <w:rsid w:val="00045984"/>
    <w:rsid w:val="000471AF"/>
    <w:rsid w:val="00051A9C"/>
    <w:rsid w:val="000534E8"/>
    <w:rsid w:val="0005408D"/>
    <w:rsid w:val="000552C9"/>
    <w:rsid w:val="00060669"/>
    <w:rsid w:val="00062E9C"/>
    <w:rsid w:val="000674EB"/>
    <w:rsid w:val="00067CC0"/>
    <w:rsid w:val="0007247D"/>
    <w:rsid w:val="000745FC"/>
    <w:rsid w:val="00075570"/>
    <w:rsid w:val="00077CEA"/>
    <w:rsid w:val="00081BB4"/>
    <w:rsid w:val="00083AC0"/>
    <w:rsid w:val="000847F3"/>
    <w:rsid w:val="00084C2A"/>
    <w:rsid w:val="00090DDF"/>
    <w:rsid w:val="00092762"/>
    <w:rsid w:val="0009473A"/>
    <w:rsid w:val="00095416"/>
    <w:rsid w:val="000A1ECC"/>
    <w:rsid w:val="000A4A20"/>
    <w:rsid w:val="000B2502"/>
    <w:rsid w:val="000B4EC5"/>
    <w:rsid w:val="000B5B79"/>
    <w:rsid w:val="000B6A3D"/>
    <w:rsid w:val="000B7958"/>
    <w:rsid w:val="000C09DF"/>
    <w:rsid w:val="000C1A21"/>
    <w:rsid w:val="000C41C9"/>
    <w:rsid w:val="000C47E1"/>
    <w:rsid w:val="000C4D91"/>
    <w:rsid w:val="000C7AD7"/>
    <w:rsid w:val="000D4189"/>
    <w:rsid w:val="000D6263"/>
    <w:rsid w:val="000E1B6B"/>
    <w:rsid w:val="000E531F"/>
    <w:rsid w:val="000E5F76"/>
    <w:rsid w:val="000E606A"/>
    <w:rsid w:val="000E71E8"/>
    <w:rsid w:val="000F32F6"/>
    <w:rsid w:val="000F4B55"/>
    <w:rsid w:val="00102A93"/>
    <w:rsid w:val="00117121"/>
    <w:rsid w:val="00123627"/>
    <w:rsid w:val="00124CBE"/>
    <w:rsid w:val="00125428"/>
    <w:rsid w:val="00125F34"/>
    <w:rsid w:val="001261CF"/>
    <w:rsid w:val="00126754"/>
    <w:rsid w:val="00131079"/>
    <w:rsid w:val="00134768"/>
    <w:rsid w:val="00135ABD"/>
    <w:rsid w:val="0014169F"/>
    <w:rsid w:val="0014209B"/>
    <w:rsid w:val="001430ED"/>
    <w:rsid w:val="001431C0"/>
    <w:rsid w:val="00143909"/>
    <w:rsid w:val="00147645"/>
    <w:rsid w:val="00154F27"/>
    <w:rsid w:val="0016088F"/>
    <w:rsid w:val="001663A2"/>
    <w:rsid w:val="001745D7"/>
    <w:rsid w:val="00180950"/>
    <w:rsid w:val="00182204"/>
    <w:rsid w:val="00183641"/>
    <w:rsid w:val="00185C8D"/>
    <w:rsid w:val="00187283"/>
    <w:rsid w:val="001939A5"/>
    <w:rsid w:val="00193B51"/>
    <w:rsid w:val="00194444"/>
    <w:rsid w:val="00195193"/>
    <w:rsid w:val="0019555E"/>
    <w:rsid w:val="001968D3"/>
    <w:rsid w:val="001B02D5"/>
    <w:rsid w:val="001B55DB"/>
    <w:rsid w:val="001B5DE6"/>
    <w:rsid w:val="001C2D09"/>
    <w:rsid w:val="001C328B"/>
    <w:rsid w:val="001C6EB7"/>
    <w:rsid w:val="001D7C5E"/>
    <w:rsid w:val="001E0F7B"/>
    <w:rsid w:val="001E2E9D"/>
    <w:rsid w:val="001E43D5"/>
    <w:rsid w:val="001E5D82"/>
    <w:rsid w:val="001E69BB"/>
    <w:rsid w:val="001F243F"/>
    <w:rsid w:val="001F2753"/>
    <w:rsid w:val="001F61CF"/>
    <w:rsid w:val="001F7982"/>
    <w:rsid w:val="00200170"/>
    <w:rsid w:val="002001E7"/>
    <w:rsid w:val="00200CBB"/>
    <w:rsid w:val="0020229A"/>
    <w:rsid w:val="002037E0"/>
    <w:rsid w:val="00204596"/>
    <w:rsid w:val="00210E39"/>
    <w:rsid w:val="002128C4"/>
    <w:rsid w:val="00214D7E"/>
    <w:rsid w:val="00214F2C"/>
    <w:rsid w:val="00222AC6"/>
    <w:rsid w:val="00223B68"/>
    <w:rsid w:val="00224535"/>
    <w:rsid w:val="00227A40"/>
    <w:rsid w:val="00230B3C"/>
    <w:rsid w:val="00232AEB"/>
    <w:rsid w:val="0023425C"/>
    <w:rsid w:val="002354F1"/>
    <w:rsid w:val="00241D66"/>
    <w:rsid w:val="00242A7C"/>
    <w:rsid w:val="00246086"/>
    <w:rsid w:val="002470A4"/>
    <w:rsid w:val="00251E15"/>
    <w:rsid w:val="00257464"/>
    <w:rsid w:val="002615D2"/>
    <w:rsid w:val="00262046"/>
    <w:rsid w:val="00263155"/>
    <w:rsid w:val="00264363"/>
    <w:rsid w:val="00266D1A"/>
    <w:rsid w:val="00267FA9"/>
    <w:rsid w:val="00270C1A"/>
    <w:rsid w:val="0027268A"/>
    <w:rsid w:val="002740B6"/>
    <w:rsid w:val="0027420D"/>
    <w:rsid w:val="002813DB"/>
    <w:rsid w:val="00285FC1"/>
    <w:rsid w:val="0029159D"/>
    <w:rsid w:val="00292ED9"/>
    <w:rsid w:val="00295B46"/>
    <w:rsid w:val="002973C4"/>
    <w:rsid w:val="002A00D5"/>
    <w:rsid w:val="002A02E2"/>
    <w:rsid w:val="002A23A5"/>
    <w:rsid w:val="002A32EF"/>
    <w:rsid w:val="002A43B9"/>
    <w:rsid w:val="002B1887"/>
    <w:rsid w:val="002B1B3D"/>
    <w:rsid w:val="002B39B7"/>
    <w:rsid w:val="002B73D1"/>
    <w:rsid w:val="002C0F60"/>
    <w:rsid w:val="002C1537"/>
    <w:rsid w:val="002C1A9E"/>
    <w:rsid w:val="002C4211"/>
    <w:rsid w:val="002D2A07"/>
    <w:rsid w:val="002D2CC6"/>
    <w:rsid w:val="002D44D0"/>
    <w:rsid w:val="002E0277"/>
    <w:rsid w:val="002E1C3F"/>
    <w:rsid w:val="002E29EE"/>
    <w:rsid w:val="002E2B49"/>
    <w:rsid w:val="002E5867"/>
    <w:rsid w:val="002E5BD3"/>
    <w:rsid w:val="002E72B7"/>
    <w:rsid w:val="002E7F90"/>
    <w:rsid w:val="002F08C1"/>
    <w:rsid w:val="002F08E3"/>
    <w:rsid w:val="002F1457"/>
    <w:rsid w:val="002F2E28"/>
    <w:rsid w:val="002F2E95"/>
    <w:rsid w:val="002F46DC"/>
    <w:rsid w:val="003040A5"/>
    <w:rsid w:val="0030430D"/>
    <w:rsid w:val="003105CC"/>
    <w:rsid w:val="00310923"/>
    <w:rsid w:val="00311B5C"/>
    <w:rsid w:val="00313DB5"/>
    <w:rsid w:val="00313F57"/>
    <w:rsid w:val="00316340"/>
    <w:rsid w:val="00316D82"/>
    <w:rsid w:val="00317D1D"/>
    <w:rsid w:val="00321773"/>
    <w:rsid w:val="003223B7"/>
    <w:rsid w:val="00323185"/>
    <w:rsid w:val="003253F9"/>
    <w:rsid w:val="003259EF"/>
    <w:rsid w:val="0032606C"/>
    <w:rsid w:val="00326230"/>
    <w:rsid w:val="00326F08"/>
    <w:rsid w:val="00331401"/>
    <w:rsid w:val="00333893"/>
    <w:rsid w:val="00334CE0"/>
    <w:rsid w:val="0033661B"/>
    <w:rsid w:val="00342B68"/>
    <w:rsid w:val="00344449"/>
    <w:rsid w:val="00345206"/>
    <w:rsid w:val="003532D9"/>
    <w:rsid w:val="00354D8C"/>
    <w:rsid w:val="00356E13"/>
    <w:rsid w:val="00362595"/>
    <w:rsid w:val="00363335"/>
    <w:rsid w:val="003633A4"/>
    <w:rsid w:val="00370B1E"/>
    <w:rsid w:val="00372777"/>
    <w:rsid w:val="0037463F"/>
    <w:rsid w:val="003759C3"/>
    <w:rsid w:val="00375F1D"/>
    <w:rsid w:val="00376572"/>
    <w:rsid w:val="00380E22"/>
    <w:rsid w:val="003823AE"/>
    <w:rsid w:val="00384739"/>
    <w:rsid w:val="003851E7"/>
    <w:rsid w:val="003852E5"/>
    <w:rsid w:val="00387916"/>
    <w:rsid w:val="00392325"/>
    <w:rsid w:val="00394C7F"/>
    <w:rsid w:val="003A62C0"/>
    <w:rsid w:val="003A674C"/>
    <w:rsid w:val="003A7B6C"/>
    <w:rsid w:val="003B18E1"/>
    <w:rsid w:val="003B2A30"/>
    <w:rsid w:val="003B306E"/>
    <w:rsid w:val="003B3E2D"/>
    <w:rsid w:val="003C0391"/>
    <w:rsid w:val="003C1719"/>
    <w:rsid w:val="003C200A"/>
    <w:rsid w:val="003C5389"/>
    <w:rsid w:val="003C5A92"/>
    <w:rsid w:val="003C6317"/>
    <w:rsid w:val="003C6E38"/>
    <w:rsid w:val="003C72D0"/>
    <w:rsid w:val="003D1066"/>
    <w:rsid w:val="003D1F22"/>
    <w:rsid w:val="003D2AF8"/>
    <w:rsid w:val="003D2C2B"/>
    <w:rsid w:val="003D34F1"/>
    <w:rsid w:val="003D6767"/>
    <w:rsid w:val="003E1D8F"/>
    <w:rsid w:val="003E25D7"/>
    <w:rsid w:val="003E3ABB"/>
    <w:rsid w:val="003E4C3D"/>
    <w:rsid w:val="003E6F2B"/>
    <w:rsid w:val="003F0CF3"/>
    <w:rsid w:val="003F251D"/>
    <w:rsid w:val="003F328C"/>
    <w:rsid w:val="003F4AB0"/>
    <w:rsid w:val="003F607E"/>
    <w:rsid w:val="003F7BAE"/>
    <w:rsid w:val="00404606"/>
    <w:rsid w:val="00406FF0"/>
    <w:rsid w:val="00407DEA"/>
    <w:rsid w:val="00411A32"/>
    <w:rsid w:val="00411CDF"/>
    <w:rsid w:val="004146D7"/>
    <w:rsid w:val="00415459"/>
    <w:rsid w:val="0041595C"/>
    <w:rsid w:val="00427F41"/>
    <w:rsid w:val="0043034B"/>
    <w:rsid w:val="00430B53"/>
    <w:rsid w:val="0043167F"/>
    <w:rsid w:val="00432B85"/>
    <w:rsid w:val="00441364"/>
    <w:rsid w:val="004427D1"/>
    <w:rsid w:val="00443BD4"/>
    <w:rsid w:val="0044499A"/>
    <w:rsid w:val="00445A5C"/>
    <w:rsid w:val="004461A6"/>
    <w:rsid w:val="004517A8"/>
    <w:rsid w:val="00451B9C"/>
    <w:rsid w:val="00453C57"/>
    <w:rsid w:val="00455693"/>
    <w:rsid w:val="00456F20"/>
    <w:rsid w:val="00461425"/>
    <w:rsid w:val="00462259"/>
    <w:rsid w:val="004646A9"/>
    <w:rsid w:val="0047186E"/>
    <w:rsid w:val="0047586A"/>
    <w:rsid w:val="00475F7E"/>
    <w:rsid w:val="0047733A"/>
    <w:rsid w:val="004813CA"/>
    <w:rsid w:val="00486148"/>
    <w:rsid w:val="00487C79"/>
    <w:rsid w:val="004A4175"/>
    <w:rsid w:val="004B0A25"/>
    <w:rsid w:val="004B742B"/>
    <w:rsid w:val="004C5CBE"/>
    <w:rsid w:val="004C6109"/>
    <w:rsid w:val="004D048E"/>
    <w:rsid w:val="004D3BAE"/>
    <w:rsid w:val="004D476A"/>
    <w:rsid w:val="004D486B"/>
    <w:rsid w:val="004E651F"/>
    <w:rsid w:val="004E6CD6"/>
    <w:rsid w:val="004E7953"/>
    <w:rsid w:val="004F0945"/>
    <w:rsid w:val="004F1C1D"/>
    <w:rsid w:val="00501D19"/>
    <w:rsid w:val="00504734"/>
    <w:rsid w:val="0051150D"/>
    <w:rsid w:val="005123BE"/>
    <w:rsid w:val="00513A0D"/>
    <w:rsid w:val="00515874"/>
    <w:rsid w:val="00520947"/>
    <w:rsid w:val="0052235D"/>
    <w:rsid w:val="005236AD"/>
    <w:rsid w:val="0052675E"/>
    <w:rsid w:val="00527692"/>
    <w:rsid w:val="005310EE"/>
    <w:rsid w:val="005314AE"/>
    <w:rsid w:val="005327FB"/>
    <w:rsid w:val="00540670"/>
    <w:rsid w:val="00540C26"/>
    <w:rsid w:val="005410D6"/>
    <w:rsid w:val="005415F6"/>
    <w:rsid w:val="005429DB"/>
    <w:rsid w:val="00542C7D"/>
    <w:rsid w:val="00551EB2"/>
    <w:rsid w:val="005538BB"/>
    <w:rsid w:val="00556883"/>
    <w:rsid w:val="00556CE7"/>
    <w:rsid w:val="005640AF"/>
    <w:rsid w:val="00570F5B"/>
    <w:rsid w:val="00573224"/>
    <w:rsid w:val="00573446"/>
    <w:rsid w:val="0057518E"/>
    <w:rsid w:val="00575579"/>
    <w:rsid w:val="00575904"/>
    <w:rsid w:val="00576FA4"/>
    <w:rsid w:val="005770BD"/>
    <w:rsid w:val="00577C5F"/>
    <w:rsid w:val="00590387"/>
    <w:rsid w:val="00592D1F"/>
    <w:rsid w:val="00592E6A"/>
    <w:rsid w:val="00594C14"/>
    <w:rsid w:val="005A0D45"/>
    <w:rsid w:val="005A1003"/>
    <w:rsid w:val="005A19FD"/>
    <w:rsid w:val="005A1BA1"/>
    <w:rsid w:val="005A30BA"/>
    <w:rsid w:val="005A3110"/>
    <w:rsid w:val="005A46DA"/>
    <w:rsid w:val="005A46DD"/>
    <w:rsid w:val="005A4FE9"/>
    <w:rsid w:val="005A7ACB"/>
    <w:rsid w:val="005B1E94"/>
    <w:rsid w:val="005B50B9"/>
    <w:rsid w:val="005B682A"/>
    <w:rsid w:val="005B7AC6"/>
    <w:rsid w:val="005C126B"/>
    <w:rsid w:val="005C12A3"/>
    <w:rsid w:val="005C372A"/>
    <w:rsid w:val="005C52BB"/>
    <w:rsid w:val="005D19A0"/>
    <w:rsid w:val="005D1B10"/>
    <w:rsid w:val="005D5D0A"/>
    <w:rsid w:val="005D5FD2"/>
    <w:rsid w:val="005E25D9"/>
    <w:rsid w:val="005F359C"/>
    <w:rsid w:val="005F475D"/>
    <w:rsid w:val="0060078C"/>
    <w:rsid w:val="00601C96"/>
    <w:rsid w:val="00602396"/>
    <w:rsid w:val="00605F96"/>
    <w:rsid w:val="0060719D"/>
    <w:rsid w:val="0061082F"/>
    <w:rsid w:val="00614773"/>
    <w:rsid w:val="00617608"/>
    <w:rsid w:val="00621EA8"/>
    <w:rsid w:val="006256A1"/>
    <w:rsid w:val="00625A3E"/>
    <w:rsid w:val="00632174"/>
    <w:rsid w:val="00634205"/>
    <w:rsid w:val="00637F50"/>
    <w:rsid w:val="006400E3"/>
    <w:rsid w:val="00644023"/>
    <w:rsid w:val="00647486"/>
    <w:rsid w:val="00653ABF"/>
    <w:rsid w:val="00653C3D"/>
    <w:rsid w:val="00660E5A"/>
    <w:rsid w:val="0066749C"/>
    <w:rsid w:val="00667C5E"/>
    <w:rsid w:val="0067059F"/>
    <w:rsid w:val="0067296F"/>
    <w:rsid w:val="0067575C"/>
    <w:rsid w:val="0067773F"/>
    <w:rsid w:val="00677854"/>
    <w:rsid w:val="00682937"/>
    <w:rsid w:val="006834DB"/>
    <w:rsid w:val="00684B15"/>
    <w:rsid w:val="00686484"/>
    <w:rsid w:val="00686B16"/>
    <w:rsid w:val="00692E23"/>
    <w:rsid w:val="006A3183"/>
    <w:rsid w:val="006A31F1"/>
    <w:rsid w:val="006A3B4C"/>
    <w:rsid w:val="006B1666"/>
    <w:rsid w:val="006C1239"/>
    <w:rsid w:val="006C2BA0"/>
    <w:rsid w:val="006C60A1"/>
    <w:rsid w:val="006C658D"/>
    <w:rsid w:val="006C6D90"/>
    <w:rsid w:val="006D0FE0"/>
    <w:rsid w:val="006D3384"/>
    <w:rsid w:val="006D3EF5"/>
    <w:rsid w:val="006D5C36"/>
    <w:rsid w:val="006E1D34"/>
    <w:rsid w:val="006E1F09"/>
    <w:rsid w:val="006E1FDB"/>
    <w:rsid w:val="006E3D19"/>
    <w:rsid w:val="006E6D00"/>
    <w:rsid w:val="006F4EA1"/>
    <w:rsid w:val="006F796B"/>
    <w:rsid w:val="00700641"/>
    <w:rsid w:val="007018B9"/>
    <w:rsid w:val="0070286A"/>
    <w:rsid w:val="00707519"/>
    <w:rsid w:val="00707E6A"/>
    <w:rsid w:val="00712BD4"/>
    <w:rsid w:val="007162E2"/>
    <w:rsid w:val="007230BE"/>
    <w:rsid w:val="007269F6"/>
    <w:rsid w:val="00726F43"/>
    <w:rsid w:val="00727AD5"/>
    <w:rsid w:val="00732025"/>
    <w:rsid w:val="007332BE"/>
    <w:rsid w:val="0073525A"/>
    <w:rsid w:val="0073669E"/>
    <w:rsid w:val="00736C03"/>
    <w:rsid w:val="00737789"/>
    <w:rsid w:val="00740521"/>
    <w:rsid w:val="00740F1D"/>
    <w:rsid w:val="007434BC"/>
    <w:rsid w:val="00743535"/>
    <w:rsid w:val="0074385A"/>
    <w:rsid w:val="00745325"/>
    <w:rsid w:val="00751251"/>
    <w:rsid w:val="00752127"/>
    <w:rsid w:val="00754E8D"/>
    <w:rsid w:val="00760E9F"/>
    <w:rsid w:val="00761062"/>
    <w:rsid w:val="007615C9"/>
    <w:rsid w:val="00761A05"/>
    <w:rsid w:val="00764773"/>
    <w:rsid w:val="00765A41"/>
    <w:rsid w:val="0076689F"/>
    <w:rsid w:val="0077402C"/>
    <w:rsid w:val="00774648"/>
    <w:rsid w:val="00777871"/>
    <w:rsid w:val="0078051C"/>
    <w:rsid w:val="00784D86"/>
    <w:rsid w:val="00784E2F"/>
    <w:rsid w:val="007865EC"/>
    <w:rsid w:val="007919E9"/>
    <w:rsid w:val="00793A78"/>
    <w:rsid w:val="00795270"/>
    <w:rsid w:val="00795901"/>
    <w:rsid w:val="007A3D8D"/>
    <w:rsid w:val="007A4514"/>
    <w:rsid w:val="007A7B56"/>
    <w:rsid w:val="007B0615"/>
    <w:rsid w:val="007B06FA"/>
    <w:rsid w:val="007B3E19"/>
    <w:rsid w:val="007B431A"/>
    <w:rsid w:val="007B4D24"/>
    <w:rsid w:val="007B6914"/>
    <w:rsid w:val="007B6B05"/>
    <w:rsid w:val="007B7458"/>
    <w:rsid w:val="007C1525"/>
    <w:rsid w:val="007C7C9C"/>
    <w:rsid w:val="007D0194"/>
    <w:rsid w:val="007D1C4F"/>
    <w:rsid w:val="007E09A0"/>
    <w:rsid w:val="007E1015"/>
    <w:rsid w:val="007E1793"/>
    <w:rsid w:val="007F1A64"/>
    <w:rsid w:val="007F2AF2"/>
    <w:rsid w:val="007F2B02"/>
    <w:rsid w:val="007F5ECE"/>
    <w:rsid w:val="008038D7"/>
    <w:rsid w:val="008052D1"/>
    <w:rsid w:val="008054F2"/>
    <w:rsid w:val="00805EBA"/>
    <w:rsid w:val="0080618B"/>
    <w:rsid w:val="00814A52"/>
    <w:rsid w:val="00815AC8"/>
    <w:rsid w:val="00820958"/>
    <w:rsid w:val="00822260"/>
    <w:rsid w:val="00823D1B"/>
    <w:rsid w:val="0082444A"/>
    <w:rsid w:val="00825774"/>
    <w:rsid w:val="008263AC"/>
    <w:rsid w:val="0083067D"/>
    <w:rsid w:val="00832777"/>
    <w:rsid w:val="00833A15"/>
    <w:rsid w:val="00833FC0"/>
    <w:rsid w:val="00834159"/>
    <w:rsid w:val="0083582C"/>
    <w:rsid w:val="00837521"/>
    <w:rsid w:val="008376A5"/>
    <w:rsid w:val="00842679"/>
    <w:rsid w:val="00845482"/>
    <w:rsid w:val="0084686F"/>
    <w:rsid w:val="008532E6"/>
    <w:rsid w:val="0085420B"/>
    <w:rsid w:val="00864471"/>
    <w:rsid w:val="00866A80"/>
    <w:rsid w:val="00867505"/>
    <w:rsid w:val="008701DE"/>
    <w:rsid w:val="00875993"/>
    <w:rsid w:val="00876309"/>
    <w:rsid w:val="00884AEE"/>
    <w:rsid w:val="0088609E"/>
    <w:rsid w:val="0089076D"/>
    <w:rsid w:val="00897D04"/>
    <w:rsid w:val="008A12CF"/>
    <w:rsid w:val="008A16B1"/>
    <w:rsid w:val="008A1B7A"/>
    <w:rsid w:val="008A246C"/>
    <w:rsid w:val="008A6980"/>
    <w:rsid w:val="008B0262"/>
    <w:rsid w:val="008B15A9"/>
    <w:rsid w:val="008B3B4D"/>
    <w:rsid w:val="008B6342"/>
    <w:rsid w:val="008B7EF1"/>
    <w:rsid w:val="008C3069"/>
    <w:rsid w:val="008C3906"/>
    <w:rsid w:val="008C439B"/>
    <w:rsid w:val="008D3E17"/>
    <w:rsid w:val="008D7163"/>
    <w:rsid w:val="008E1AFB"/>
    <w:rsid w:val="008E35D2"/>
    <w:rsid w:val="008E41DD"/>
    <w:rsid w:val="008E5634"/>
    <w:rsid w:val="008E5F6B"/>
    <w:rsid w:val="008F13BE"/>
    <w:rsid w:val="008F2022"/>
    <w:rsid w:val="008F2C67"/>
    <w:rsid w:val="008F4962"/>
    <w:rsid w:val="008F6720"/>
    <w:rsid w:val="008F6F01"/>
    <w:rsid w:val="008F7B15"/>
    <w:rsid w:val="00900CD6"/>
    <w:rsid w:val="00903AA9"/>
    <w:rsid w:val="0090755A"/>
    <w:rsid w:val="00907A6A"/>
    <w:rsid w:val="00912B6C"/>
    <w:rsid w:val="00912BDA"/>
    <w:rsid w:val="00914F27"/>
    <w:rsid w:val="00921212"/>
    <w:rsid w:val="0092443B"/>
    <w:rsid w:val="0092544E"/>
    <w:rsid w:val="00926945"/>
    <w:rsid w:val="00931A2F"/>
    <w:rsid w:val="0093424C"/>
    <w:rsid w:val="00941207"/>
    <w:rsid w:val="00944855"/>
    <w:rsid w:val="00945098"/>
    <w:rsid w:val="00946702"/>
    <w:rsid w:val="009470B4"/>
    <w:rsid w:val="00950572"/>
    <w:rsid w:val="00951E59"/>
    <w:rsid w:val="009525E5"/>
    <w:rsid w:val="009538A6"/>
    <w:rsid w:val="00954BC1"/>
    <w:rsid w:val="00971631"/>
    <w:rsid w:val="00974118"/>
    <w:rsid w:val="009746AC"/>
    <w:rsid w:val="00982286"/>
    <w:rsid w:val="00982855"/>
    <w:rsid w:val="009840C9"/>
    <w:rsid w:val="00984635"/>
    <w:rsid w:val="009854E9"/>
    <w:rsid w:val="009868B5"/>
    <w:rsid w:val="00986F68"/>
    <w:rsid w:val="0099199E"/>
    <w:rsid w:val="00993693"/>
    <w:rsid w:val="00996ADC"/>
    <w:rsid w:val="009A048B"/>
    <w:rsid w:val="009A4215"/>
    <w:rsid w:val="009B531D"/>
    <w:rsid w:val="009B65DB"/>
    <w:rsid w:val="009B7253"/>
    <w:rsid w:val="009C17AA"/>
    <w:rsid w:val="009C1C88"/>
    <w:rsid w:val="009C2948"/>
    <w:rsid w:val="009C3F08"/>
    <w:rsid w:val="009C4ACC"/>
    <w:rsid w:val="009C6166"/>
    <w:rsid w:val="009D3B1C"/>
    <w:rsid w:val="009D4A26"/>
    <w:rsid w:val="009D4A3A"/>
    <w:rsid w:val="009D4D4D"/>
    <w:rsid w:val="009D5EE5"/>
    <w:rsid w:val="009F5C27"/>
    <w:rsid w:val="009F62B6"/>
    <w:rsid w:val="00A00B94"/>
    <w:rsid w:val="00A00F2A"/>
    <w:rsid w:val="00A029E6"/>
    <w:rsid w:val="00A02B8F"/>
    <w:rsid w:val="00A0418D"/>
    <w:rsid w:val="00A0489F"/>
    <w:rsid w:val="00A058C2"/>
    <w:rsid w:val="00A10520"/>
    <w:rsid w:val="00A10BA4"/>
    <w:rsid w:val="00A125B2"/>
    <w:rsid w:val="00A12792"/>
    <w:rsid w:val="00A13823"/>
    <w:rsid w:val="00A17783"/>
    <w:rsid w:val="00A177CE"/>
    <w:rsid w:val="00A17A8B"/>
    <w:rsid w:val="00A21119"/>
    <w:rsid w:val="00A22B80"/>
    <w:rsid w:val="00A23593"/>
    <w:rsid w:val="00A32B9B"/>
    <w:rsid w:val="00A33708"/>
    <w:rsid w:val="00A34EFB"/>
    <w:rsid w:val="00A354A6"/>
    <w:rsid w:val="00A44BF5"/>
    <w:rsid w:val="00A47F9E"/>
    <w:rsid w:val="00A519C2"/>
    <w:rsid w:val="00A51A15"/>
    <w:rsid w:val="00A53EE0"/>
    <w:rsid w:val="00A564A7"/>
    <w:rsid w:val="00A608EF"/>
    <w:rsid w:val="00A65262"/>
    <w:rsid w:val="00A667A4"/>
    <w:rsid w:val="00A66DF0"/>
    <w:rsid w:val="00A74DB9"/>
    <w:rsid w:val="00A82C81"/>
    <w:rsid w:val="00A839A3"/>
    <w:rsid w:val="00A84CDC"/>
    <w:rsid w:val="00A921F7"/>
    <w:rsid w:val="00A96862"/>
    <w:rsid w:val="00A972E4"/>
    <w:rsid w:val="00AA18D7"/>
    <w:rsid w:val="00AA3830"/>
    <w:rsid w:val="00AA3999"/>
    <w:rsid w:val="00AA47FB"/>
    <w:rsid w:val="00AA5371"/>
    <w:rsid w:val="00AB22A2"/>
    <w:rsid w:val="00AB23B9"/>
    <w:rsid w:val="00AB7E6E"/>
    <w:rsid w:val="00AC3D49"/>
    <w:rsid w:val="00AC4348"/>
    <w:rsid w:val="00AC7CE0"/>
    <w:rsid w:val="00AD0319"/>
    <w:rsid w:val="00AD1BFB"/>
    <w:rsid w:val="00AD3501"/>
    <w:rsid w:val="00AD5BB9"/>
    <w:rsid w:val="00AD672B"/>
    <w:rsid w:val="00AE3C99"/>
    <w:rsid w:val="00AE5437"/>
    <w:rsid w:val="00AE545C"/>
    <w:rsid w:val="00AE5906"/>
    <w:rsid w:val="00AE6F7C"/>
    <w:rsid w:val="00AE746F"/>
    <w:rsid w:val="00AF128A"/>
    <w:rsid w:val="00AF1C13"/>
    <w:rsid w:val="00AF1C64"/>
    <w:rsid w:val="00AF4985"/>
    <w:rsid w:val="00AF63A6"/>
    <w:rsid w:val="00AF72BA"/>
    <w:rsid w:val="00B01BB0"/>
    <w:rsid w:val="00B2041C"/>
    <w:rsid w:val="00B2202C"/>
    <w:rsid w:val="00B235AB"/>
    <w:rsid w:val="00B251D8"/>
    <w:rsid w:val="00B30D1D"/>
    <w:rsid w:val="00B31EF7"/>
    <w:rsid w:val="00B31F36"/>
    <w:rsid w:val="00B3244E"/>
    <w:rsid w:val="00B35F04"/>
    <w:rsid w:val="00B41D27"/>
    <w:rsid w:val="00B4655B"/>
    <w:rsid w:val="00B52267"/>
    <w:rsid w:val="00B5271A"/>
    <w:rsid w:val="00B52D6E"/>
    <w:rsid w:val="00B601C7"/>
    <w:rsid w:val="00B620D6"/>
    <w:rsid w:val="00B6400C"/>
    <w:rsid w:val="00B667C8"/>
    <w:rsid w:val="00B66AD5"/>
    <w:rsid w:val="00B67687"/>
    <w:rsid w:val="00B7057F"/>
    <w:rsid w:val="00B71B46"/>
    <w:rsid w:val="00B72403"/>
    <w:rsid w:val="00B74248"/>
    <w:rsid w:val="00B76691"/>
    <w:rsid w:val="00B865DF"/>
    <w:rsid w:val="00B912E0"/>
    <w:rsid w:val="00B94621"/>
    <w:rsid w:val="00B955C3"/>
    <w:rsid w:val="00BA123E"/>
    <w:rsid w:val="00BA248E"/>
    <w:rsid w:val="00BA4531"/>
    <w:rsid w:val="00BA4A46"/>
    <w:rsid w:val="00BA6F5A"/>
    <w:rsid w:val="00BB1443"/>
    <w:rsid w:val="00BC00E3"/>
    <w:rsid w:val="00BC0B87"/>
    <w:rsid w:val="00BC111B"/>
    <w:rsid w:val="00BC1F60"/>
    <w:rsid w:val="00BC5AF0"/>
    <w:rsid w:val="00BD0D87"/>
    <w:rsid w:val="00BE12C1"/>
    <w:rsid w:val="00BE2675"/>
    <w:rsid w:val="00BE5E34"/>
    <w:rsid w:val="00BE77D0"/>
    <w:rsid w:val="00BE7D51"/>
    <w:rsid w:val="00BF1250"/>
    <w:rsid w:val="00BF72E3"/>
    <w:rsid w:val="00BF7D1C"/>
    <w:rsid w:val="00C03232"/>
    <w:rsid w:val="00C04B1D"/>
    <w:rsid w:val="00C07EB6"/>
    <w:rsid w:val="00C10347"/>
    <w:rsid w:val="00C16A5F"/>
    <w:rsid w:val="00C1777A"/>
    <w:rsid w:val="00C25093"/>
    <w:rsid w:val="00C26A64"/>
    <w:rsid w:val="00C322F3"/>
    <w:rsid w:val="00C3274D"/>
    <w:rsid w:val="00C35115"/>
    <w:rsid w:val="00C35301"/>
    <w:rsid w:val="00C37230"/>
    <w:rsid w:val="00C375B1"/>
    <w:rsid w:val="00C40CFB"/>
    <w:rsid w:val="00C502BF"/>
    <w:rsid w:val="00C50F04"/>
    <w:rsid w:val="00C51992"/>
    <w:rsid w:val="00C54122"/>
    <w:rsid w:val="00C56A05"/>
    <w:rsid w:val="00C57A22"/>
    <w:rsid w:val="00C57C52"/>
    <w:rsid w:val="00C60A02"/>
    <w:rsid w:val="00C618EB"/>
    <w:rsid w:val="00C61CE5"/>
    <w:rsid w:val="00C66159"/>
    <w:rsid w:val="00C66294"/>
    <w:rsid w:val="00C67452"/>
    <w:rsid w:val="00C701D8"/>
    <w:rsid w:val="00C7115F"/>
    <w:rsid w:val="00C7131E"/>
    <w:rsid w:val="00C77C82"/>
    <w:rsid w:val="00C804EC"/>
    <w:rsid w:val="00C81DFC"/>
    <w:rsid w:val="00C83C18"/>
    <w:rsid w:val="00C83D76"/>
    <w:rsid w:val="00C92E0C"/>
    <w:rsid w:val="00C934C0"/>
    <w:rsid w:val="00C93DC3"/>
    <w:rsid w:val="00CA0887"/>
    <w:rsid w:val="00CA1C0B"/>
    <w:rsid w:val="00CA71B3"/>
    <w:rsid w:val="00CA7E4C"/>
    <w:rsid w:val="00CB338E"/>
    <w:rsid w:val="00CB5CAC"/>
    <w:rsid w:val="00CB6403"/>
    <w:rsid w:val="00CB6E88"/>
    <w:rsid w:val="00CC4B56"/>
    <w:rsid w:val="00CC7EBE"/>
    <w:rsid w:val="00CD10FD"/>
    <w:rsid w:val="00CD12ED"/>
    <w:rsid w:val="00CD5A8D"/>
    <w:rsid w:val="00CD6B25"/>
    <w:rsid w:val="00CD7AF6"/>
    <w:rsid w:val="00CE353F"/>
    <w:rsid w:val="00CE686F"/>
    <w:rsid w:val="00CE71A8"/>
    <w:rsid w:val="00CF00D0"/>
    <w:rsid w:val="00CF2980"/>
    <w:rsid w:val="00CF4325"/>
    <w:rsid w:val="00CF4EDA"/>
    <w:rsid w:val="00CF54C8"/>
    <w:rsid w:val="00D013F6"/>
    <w:rsid w:val="00D0291E"/>
    <w:rsid w:val="00D075BD"/>
    <w:rsid w:val="00D1243F"/>
    <w:rsid w:val="00D12AFF"/>
    <w:rsid w:val="00D23203"/>
    <w:rsid w:val="00D237C2"/>
    <w:rsid w:val="00D27D88"/>
    <w:rsid w:val="00D30B54"/>
    <w:rsid w:val="00D355CD"/>
    <w:rsid w:val="00D35B1C"/>
    <w:rsid w:val="00D378EC"/>
    <w:rsid w:val="00D37FB8"/>
    <w:rsid w:val="00D41DA7"/>
    <w:rsid w:val="00D42694"/>
    <w:rsid w:val="00D44115"/>
    <w:rsid w:val="00D44735"/>
    <w:rsid w:val="00D4552D"/>
    <w:rsid w:val="00D50203"/>
    <w:rsid w:val="00D51D35"/>
    <w:rsid w:val="00D525F4"/>
    <w:rsid w:val="00D63D2C"/>
    <w:rsid w:val="00D65124"/>
    <w:rsid w:val="00D7176A"/>
    <w:rsid w:val="00D74C92"/>
    <w:rsid w:val="00D77520"/>
    <w:rsid w:val="00D801F4"/>
    <w:rsid w:val="00D84CB7"/>
    <w:rsid w:val="00D864FA"/>
    <w:rsid w:val="00D92DD3"/>
    <w:rsid w:val="00D96D77"/>
    <w:rsid w:val="00DA3047"/>
    <w:rsid w:val="00DA4762"/>
    <w:rsid w:val="00DB5E6D"/>
    <w:rsid w:val="00DC44AD"/>
    <w:rsid w:val="00DC4908"/>
    <w:rsid w:val="00DD09C5"/>
    <w:rsid w:val="00DD1210"/>
    <w:rsid w:val="00DD152B"/>
    <w:rsid w:val="00DD1B29"/>
    <w:rsid w:val="00DD2EDD"/>
    <w:rsid w:val="00DD4D8C"/>
    <w:rsid w:val="00DD6E6C"/>
    <w:rsid w:val="00DE319A"/>
    <w:rsid w:val="00DE3BEE"/>
    <w:rsid w:val="00DE57CF"/>
    <w:rsid w:val="00DE7784"/>
    <w:rsid w:val="00DE7C3C"/>
    <w:rsid w:val="00DF0295"/>
    <w:rsid w:val="00DF0595"/>
    <w:rsid w:val="00DF1C72"/>
    <w:rsid w:val="00DF6F33"/>
    <w:rsid w:val="00DF7D83"/>
    <w:rsid w:val="00E003B6"/>
    <w:rsid w:val="00E02680"/>
    <w:rsid w:val="00E02AC8"/>
    <w:rsid w:val="00E03F09"/>
    <w:rsid w:val="00E04D2A"/>
    <w:rsid w:val="00E06EAC"/>
    <w:rsid w:val="00E07D12"/>
    <w:rsid w:val="00E11920"/>
    <w:rsid w:val="00E16DE9"/>
    <w:rsid w:val="00E20DBF"/>
    <w:rsid w:val="00E22247"/>
    <w:rsid w:val="00E249FA"/>
    <w:rsid w:val="00E27CD0"/>
    <w:rsid w:val="00E31C5A"/>
    <w:rsid w:val="00E32604"/>
    <w:rsid w:val="00E36220"/>
    <w:rsid w:val="00E37220"/>
    <w:rsid w:val="00E41BBE"/>
    <w:rsid w:val="00E44F5C"/>
    <w:rsid w:val="00E51D7B"/>
    <w:rsid w:val="00E5326A"/>
    <w:rsid w:val="00E64655"/>
    <w:rsid w:val="00E64687"/>
    <w:rsid w:val="00E76454"/>
    <w:rsid w:val="00E82935"/>
    <w:rsid w:val="00E82BA4"/>
    <w:rsid w:val="00E8536C"/>
    <w:rsid w:val="00E93D69"/>
    <w:rsid w:val="00E9558A"/>
    <w:rsid w:val="00E9598E"/>
    <w:rsid w:val="00E95CE6"/>
    <w:rsid w:val="00E97248"/>
    <w:rsid w:val="00EA462B"/>
    <w:rsid w:val="00EB12C5"/>
    <w:rsid w:val="00EB554D"/>
    <w:rsid w:val="00EB5CA2"/>
    <w:rsid w:val="00EC137B"/>
    <w:rsid w:val="00EC63A5"/>
    <w:rsid w:val="00EC6B88"/>
    <w:rsid w:val="00ED0741"/>
    <w:rsid w:val="00ED1E7F"/>
    <w:rsid w:val="00ED3055"/>
    <w:rsid w:val="00ED4063"/>
    <w:rsid w:val="00ED6925"/>
    <w:rsid w:val="00EE049E"/>
    <w:rsid w:val="00EE1AD2"/>
    <w:rsid w:val="00EE2AFF"/>
    <w:rsid w:val="00EE3D3A"/>
    <w:rsid w:val="00EE442C"/>
    <w:rsid w:val="00EF2088"/>
    <w:rsid w:val="00EF4210"/>
    <w:rsid w:val="00EF6F5D"/>
    <w:rsid w:val="00F02BBB"/>
    <w:rsid w:val="00F0760F"/>
    <w:rsid w:val="00F139A0"/>
    <w:rsid w:val="00F14108"/>
    <w:rsid w:val="00F17283"/>
    <w:rsid w:val="00F17422"/>
    <w:rsid w:val="00F210CE"/>
    <w:rsid w:val="00F236AC"/>
    <w:rsid w:val="00F23B19"/>
    <w:rsid w:val="00F3347B"/>
    <w:rsid w:val="00F369C6"/>
    <w:rsid w:val="00F447A0"/>
    <w:rsid w:val="00F46A51"/>
    <w:rsid w:val="00F50039"/>
    <w:rsid w:val="00F5194D"/>
    <w:rsid w:val="00F5271F"/>
    <w:rsid w:val="00F53B10"/>
    <w:rsid w:val="00F62958"/>
    <w:rsid w:val="00F6373A"/>
    <w:rsid w:val="00F66E77"/>
    <w:rsid w:val="00F75597"/>
    <w:rsid w:val="00F77C60"/>
    <w:rsid w:val="00F80F59"/>
    <w:rsid w:val="00F820CF"/>
    <w:rsid w:val="00F86986"/>
    <w:rsid w:val="00F87E11"/>
    <w:rsid w:val="00F902C6"/>
    <w:rsid w:val="00F90AF6"/>
    <w:rsid w:val="00F95DC1"/>
    <w:rsid w:val="00F95F1D"/>
    <w:rsid w:val="00F9676E"/>
    <w:rsid w:val="00F96A4C"/>
    <w:rsid w:val="00FA4AF3"/>
    <w:rsid w:val="00FA5492"/>
    <w:rsid w:val="00FA5764"/>
    <w:rsid w:val="00FA5B4D"/>
    <w:rsid w:val="00FB79C0"/>
    <w:rsid w:val="00FC4389"/>
    <w:rsid w:val="00FC61FE"/>
    <w:rsid w:val="00FC669A"/>
    <w:rsid w:val="00FC66B0"/>
    <w:rsid w:val="00FC79C3"/>
    <w:rsid w:val="00FD507A"/>
    <w:rsid w:val="00FD6140"/>
    <w:rsid w:val="00FD799D"/>
    <w:rsid w:val="00FE433B"/>
    <w:rsid w:val="00FF1056"/>
    <w:rsid w:val="00FF2FA2"/>
    <w:rsid w:val="00FF37C4"/>
    <w:rsid w:val="00FF4A2D"/>
    <w:rsid w:val="00FF60E0"/>
    <w:rsid w:val="00FF6500"/>
    <w:rsid w:val="00FF6E4E"/>
    <w:rsid w:val="0260B1B0"/>
    <w:rsid w:val="07CFA503"/>
    <w:rsid w:val="17C8ABB9"/>
    <w:rsid w:val="253E0158"/>
    <w:rsid w:val="2736C215"/>
    <w:rsid w:val="2FF7F511"/>
    <w:rsid w:val="3DC1E8DF"/>
    <w:rsid w:val="4FA0A8B6"/>
    <w:rsid w:val="51EC740B"/>
    <w:rsid w:val="5341B6FC"/>
    <w:rsid w:val="62996A6C"/>
    <w:rsid w:val="69EDB6B0"/>
    <w:rsid w:val="74DC9BF7"/>
    <w:rsid w:val="77E5B131"/>
    <w:rsid w:val="7C811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58A75"/>
  <w15:chartTrackingRefBased/>
  <w15:docId w15:val="{C8EE445C-66C4-478F-9995-9BCEA811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01BB0"/>
    <w:rPr>
      <w:sz w:val="18"/>
      <w:szCs w:val="18"/>
    </w:rPr>
  </w:style>
  <w:style w:type="paragraph" w:styleId="CommentText">
    <w:name w:val="annotation text"/>
    <w:basedOn w:val="Normal"/>
    <w:link w:val="CommentTextChar"/>
    <w:uiPriority w:val="99"/>
    <w:semiHidden/>
    <w:unhideWhenUsed/>
    <w:rsid w:val="00B01BB0"/>
    <w:pPr>
      <w:spacing w:line="240" w:lineRule="auto"/>
    </w:pPr>
    <w:rPr>
      <w:sz w:val="24"/>
      <w:szCs w:val="24"/>
    </w:rPr>
  </w:style>
  <w:style w:type="character" w:customStyle="1" w:styleId="CommentTextChar">
    <w:name w:val="Comment Text Char"/>
    <w:basedOn w:val="DefaultParagraphFont"/>
    <w:link w:val="CommentText"/>
    <w:uiPriority w:val="99"/>
    <w:semiHidden/>
    <w:rsid w:val="00B01BB0"/>
    <w:rPr>
      <w:sz w:val="24"/>
      <w:szCs w:val="24"/>
    </w:rPr>
  </w:style>
  <w:style w:type="paragraph" w:styleId="CommentSubject">
    <w:name w:val="annotation subject"/>
    <w:basedOn w:val="CommentText"/>
    <w:next w:val="CommentText"/>
    <w:link w:val="CommentSubjectChar"/>
    <w:uiPriority w:val="99"/>
    <w:semiHidden/>
    <w:unhideWhenUsed/>
    <w:rsid w:val="00B01BB0"/>
    <w:rPr>
      <w:b/>
      <w:bCs/>
      <w:sz w:val="20"/>
      <w:szCs w:val="20"/>
    </w:rPr>
  </w:style>
  <w:style w:type="character" w:customStyle="1" w:styleId="CommentSubjectChar">
    <w:name w:val="Comment Subject Char"/>
    <w:basedOn w:val="CommentTextChar"/>
    <w:link w:val="CommentSubject"/>
    <w:uiPriority w:val="99"/>
    <w:semiHidden/>
    <w:rsid w:val="00B01BB0"/>
    <w:rPr>
      <w:b/>
      <w:bCs/>
      <w:sz w:val="20"/>
      <w:szCs w:val="20"/>
    </w:rPr>
  </w:style>
  <w:style w:type="paragraph" w:styleId="BalloonText">
    <w:name w:val="Balloon Text"/>
    <w:basedOn w:val="Normal"/>
    <w:link w:val="BalloonTextChar"/>
    <w:uiPriority w:val="99"/>
    <w:semiHidden/>
    <w:unhideWhenUsed/>
    <w:rsid w:val="00B01B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BB0"/>
    <w:rPr>
      <w:rFonts w:ascii="Times New Roman" w:hAnsi="Times New Roman" w:cs="Times New Roman"/>
      <w:sz w:val="18"/>
      <w:szCs w:val="18"/>
    </w:rPr>
  </w:style>
  <w:style w:type="paragraph" w:styleId="Revision">
    <w:name w:val="Revision"/>
    <w:hidden/>
    <w:uiPriority w:val="99"/>
    <w:semiHidden/>
    <w:rsid w:val="00B01BB0"/>
    <w:pPr>
      <w:spacing w:after="0" w:line="240" w:lineRule="auto"/>
    </w:pPr>
  </w:style>
  <w:style w:type="paragraph" w:styleId="ListParagraph">
    <w:name w:val="List Paragraph"/>
    <w:basedOn w:val="Normal"/>
    <w:uiPriority w:val="34"/>
    <w:qFormat/>
    <w:rsid w:val="006F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268269903">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g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Dividend</a:t>
            </a:r>
            <a:r>
              <a:rPr lang="en-US" baseline="0"/>
              <a:t> Growth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Sheet1!$B$11:$F$11</c:f>
              <c:numCache>
                <c:formatCode>General</c:formatCode>
                <c:ptCount val="5"/>
                <c:pt idx="0">
                  <c:v>2020</c:v>
                </c:pt>
                <c:pt idx="1">
                  <c:v>2021</c:v>
                </c:pt>
                <c:pt idx="2">
                  <c:v>2022</c:v>
                </c:pt>
                <c:pt idx="3">
                  <c:v>2023</c:v>
                </c:pt>
                <c:pt idx="4">
                  <c:v>2024</c:v>
                </c:pt>
              </c:numCache>
            </c:numRef>
          </c:cat>
          <c:val>
            <c:numRef>
              <c:f>Sheet1!$B$12:$F$12</c:f>
              <c:numCache>
                <c:formatCode>[$$-409]#,##0.00</c:formatCode>
                <c:ptCount val="5"/>
                <c:pt idx="0">
                  <c:v>2.68</c:v>
                </c:pt>
                <c:pt idx="1">
                  <c:v>2.8676000000000004</c:v>
                </c:pt>
                <c:pt idx="2">
                  <c:v>3.0683320000000007</c:v>
                </c:pt>
                <c:pt idx="3">
                  <c:v>3.4672151600000003</c:v>
                </c:pt>
                <c:pt idx="4">
                  <c:v>3.7445923728000006</c:v>
                </c:pt>
              </c:numCache>
            </c:numRef>
          </c:val>
          <c:extLst>
            <c:ext xmlns:c16="http://schemas.microsoft.com/office/drawing/2014/chart" uri="{C3380CC4-5D6E-409C-BE32-E72D297353CC}">
              <c16:uniqueId val="{00000000-416C-415B-AB72-FAD69CED2305}"/>
            </c:ext>
          </c:extLst>
        </c:ser>
        <c:dLbls>
          <c:dLblPos val="outEnd"/>
          <c:showLegendKey val="0"/>
          <c:showVal val="1"/>
          <c:showCatName val="0"/>
          <c:showSerName val="0"/>
          <c:showPercent val="0"/>
          <c:showBubbleSize val="0"/>
        </c:dLbls>
        <c:gapWidth val="219"/>
        <c:overlap val="-27"/>
        <c:axId val="1426815807"/>
        <c:axId val="1439493055"/>
      </c:barChart>
      <c:catAx>
        <c:axId val="1426815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9493055"/>
        <c:crosses val="autoZero"/>
        <c:auto val="1"/>
        <c:lblAlgn val="ctr"/>
        <c:lblOffset val="100"/>
        <c:noMultiLvlLbl val="0"/>
      </c:catAx>
      <c:valAx>
        <c:axId val="1439493055"/>
        <c:scaling>
          <c:orientation val="minMax"/>
        </c:scaling>
        <c:delete val="0"/>
        <c:axPos val="l"/>
        <c:majorGridlines>
          <c:spPr>
            <a:ln w="9525" cap="flat" cmpd="sng" algn="ctr">
              <a:solidFill>
                <a:schemeClr val="tx1">
                  <a:lumMod val="15000"/>
                  <a:lumOff val="85000"/>
                </a:schemeClr>
              </a:solidFill>
              <a:round/>
            </a:ln>
            <a:effectLst/>
          </c:spPr>
        </c:majorGridlines>
        <c:numFmt formatCode="[$$-409]#,##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815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 Ratio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 Ratio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Morgan Stanley</c:v>
                </c:pt>
                <c:pt idx="1">
                  <c:v>Goldman Sachs</c:v>
                </c:pt>
                <c:pt idx="2">
                  <c:v>Moody's</c:v>
                </c:pt>
                <c:pt idx="3">
                  <c:v>SPGI</c:v>
                </c:pt>
              </c:strCache>
            </c:strRef>
          </c:cat>
          <c:val>
            <c:numRef>
              <c:f>Sheet1!$B$2:$B$5</c:f>
              <c:numCache>
                <c:formatCode>General</c:formatCode>
                <c:ptCount val="4"/>
                <c:pt idx="0">
                  <c:v>9.14</c:v>
                </c:pt>
                <c:pt idx="1">
                  <c:v>10.48</c:v>
                </c:pt>
                <c:pt idx="2">
                  <c:v>28.85</c:v>
                </c:pt>
                <c:pt idx="3">
                  <c:v>34.49</c:v>
                </c:pt>
              </c:numCache>
            </c:numRef>
          </c:val>
          <c:extLst>
            <c:ext xmlns:c16="http://schemas.microsoft.com/office/drawing/2014/chart" uri="{C3380CC4-5D6E-409C-BE32-E72D297353CC}">
              <c16:uniqueId val="{00000000-F94E-4CFA-8CD8-62BEFF9A059A}"/>
            </c:ext>
          </c:extLst>
        </c:ser>
        <c:ser>
          <c:idx val="1"/>
          <c:order val="1"/>
          <c:tx>
            <c:strRef>
              <c:f>Sheet1!$C$1</c:f>
              <c:strCache>
                <c:ptCount val="1"/>
                <c:pt idx="0">
                  <c:v>Peer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Morgan Stanley</c:v>
                </c:pt>
                <c:pt idx="1">
                  <c:v>Goldman Sachs</c:v>
                </c:pt>
                <c:pt idx="2">
                  <c:v>Moody's</c:v>
                </c:pt>
                <c:pt idx="3">
                  <c:v>SPGI</c:v>
                </c:pt>
              </c:strCache>
            </c:strRef>
          </c:cat>
          <c:val>
            <c:numRef>
              <c:f>Sheet1!$C$2:$C$5</c:f>
              <c:numCache>
                <c:formatCode>General</c:formatCode>
                <c:ptCount val="4"/>
                <c:pt idx="0">
                  <c:v>20.740000000000002</c:v>
                </c:pt>
                <c:pt idx="1">
                  <c:v>20.740000000000002</c:v>
                </c:pt>
                <c:pt idx="2">
                  <c:v>20.740000000000002</c:v>
                </c:pt>
                <c:pt idx="3">
                  <c:v>20.740000000000002</c:v>
                </c:pt>
              </c:numCache>
            </c:numRef>
          </c:val>
          <c:extLst>
            <c:ext xmlns:c16="http://schemas.microsoft.com/office/drawing/2014/chart" uri="{C3380CC4-5D6E-409C-BE32-E72D297353CC}">
              <c16:uniqueId val="{00000001-F94E-4CFA-8CD8-62BEFF9A059A}"/>
            </c:ext>
          </c:extLst>
        </c:ser>
        <c:dLbls>
          <c:dLblPos val="outEnd"/>
          <c:showLegendKey val="0"/>
          <c:showVal val="1"/>
          <c:showCatName val="0"/>
          <c:showSerName val="0"/>
          <c:showPercent val="0"/>
          <c:showBubbleSize val="0"/>
        </c:dLbls>
        <c:gapWidth val="219"/>
        <c:overlap val="-27"/>
        <c:axId val="2130866960"/>
        <c:axId val="620957280"/>
      </c:barChart>
      <c:catAx>
        <c:axId val="213086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957280"/>
        <c:crosses val="autoZero"/>
        <c:auto val="1"/>
        <c:lblAlgn val="ctr"/>
        <c:lblOffset val="100"/>
        <c:noMultiLvlLbl val="0"/>
      </c:catAx>
      <c:valAx>
        <c:axId val="62095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086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Sheet1!$G$2</c:f>
              <c:strCache>
                <c:ptCount val="1"/>
                <c:pt idx="0">
                  <c:v>P/B Ratio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Sheet1!$H$1:$L$1</c:f>
              <c:numCache>
                <c:formatCode>General</c:formatCode>
                <c:ptCount val="5"/>
                <c:pt idx="0">
                  <c:v>2015</c:v>
                </c:pt>
                <c:pt idx="1">
                  <c:v>2016</c:v>
                </c:pt>
                <c:pt idx="2">
                  <c:v>2017</c:v>
                </c:pt>
                <c:pt idx="3">
                  <c:v>2018</c:v>
                </c:pt>
                <c:pt idx="4">
                  <c:v>2019</c:v>
                </c:pt>
              </c:numCache>
            </c:numRef>
          </c:cat>
          <c:val>
            <c:numRef>
              <c:f>Sheet1!$H$2:$L$2</c:f>
              <c:numCache>
                <c:formatCode>General</c:formatCode>
                <c:ptCount val="5"/>
                <c:pt idx="0">
                  <c:v>137.35</c:v>
                </c:pt>
                <c:pt idx="1">
                  <c:v>42.87</c:v>
                </c:pt>
                <c:pt idx="2">
                  <c:v>60.93</c:v>
                </c:pt>
                <c:pt idx="3">
                  <c:v>67.900000000000006</c:v>
                </c:pt>
                <c:pt idx="4">
                  <c:v>139.32</c:v>
                </c:pt>
              </c:numCache>
            </c:numRef>
          </c:val>
          <c:extLst>
            <c:ext xmlns:c16="http://schemas.microsoft.com/office/drawing/2014/chart" uri="{C3380CC4-5D6E-409C-BE32-E72D297353CC}">
              <c16:uniqueId val="{00000000-4E15-4EEB-BD63-52E55F71E8B8}"/>
            </c:ext>
          </c:extLst>
        </c:ser>
        <c:dLbls>
          <c:dLblPos val="outEnd"/>
          <c:showLegendKey val="0"/>
          <c:showVal val="1"/>
          <c:showCatName val="0"/>
          <c:showSerName val="0"/>
          <c:showPercent val="0"/>
          <c:showBubbleSize val="0"/>
        </c:dLbls>
        <c:gapWidth val="219"/>
        <c:overlap val="-27"/>
        <c:axId val="903384159"/>
        <c:axId val="903385823"/>
      </c:barChart>
      <c:catAx>
        <c:axId val="90338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385823"/>
        <c:crosses val="autoZero"/>
        <c:auto val="1"/>
        <c:lblAlgn val="ctr"/>
        <c:lblOffset val="100"/>
        <c:noMultiLvlLbl val="0"/>
      </c:catAx>
      <c:valAx>
        <c:axId val="9033858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384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2400" b="0" i="0" u="none" strike="noStrike" kern="1200" spc="0" baseline="0">
                <a:solidFill>
                  <a:schemeClr val="accent2">
                    <a:lumMod val="75000"/>
                  </a:schemeClr>
                </a:solidFill>
                <a:latin typeface="+mn-lt"/>
                <a:ea typeface="+mn-ea"/>
                <a:cs typeface="+mn-cs"/>
              </a:defRPr>
            </a:pPr>
            <a:r>
              <a:rPr lang="en-US" sz="2400">
                <a:solidFill>
                  <a:schemeClr val="accent2">
                    <a:lumMod val="75000"/>
                  </a:schemeClr>
                </a:solidFill>
              </a:rPr>
              <a:t>Top 5 Inst. Weight</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accent2">
                  <a:lumMod val="7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Top 5 Inst. Weight</c:v>
                </c:pt>
              </c:strCache>
            </c:strRef>
          </c:tx>
          <c:dPt>
            <c:idx val="0"/>
            <c:bubble3D val="0"/>
            <c:spPr>
              <a:solidFill>
                <a:schemeClr val="accent2">
                  <a:tint val="50000"/>
                </a:schemeClr>
              </a:solidFill>
              <a:ln w="19050">
                <a:solidFill>
                  <a:schemeClr val="lt1"/>
                </a:solidFill>
              </a:ln>
              <a:effectLst/>
            </c:spPr>
            <c:extLst>
              <c:ext xmlns:c16="http://schemas.microsoft.com/office/drawing/2014/chart" uri="{C3380CC4-5D6E-409C-BE32-E72D297353CC}">
                <c16:uniqueId val="{00000001-6981-4A08-9659-4FE6CF39661B}"/>
              </c:ext>
            </c:extLst>
          </c:dPt>
          <c:dPt>
            <c:idx val="1"/>
            <c:bubble3D val="0"/>
            <c:spPr>
              <a:solidFill>
                <a:schemeClr val="accent2">
                  <a:tint val="70000"/>
                </a:schemeClr>
              </a:solidFill>
              <a:ln w="19050">
                <a:solidFill>
                  <a:schemeClr val="lt1"/>
                </a:solidFill>
              </a:ln>
              <a:effectLst/>
            </c:spPr>
            <c:extLst>
              <c:ext xmlns:c16="http://schemas.microsoft.com/office/drawing/2014/chart" uri="{C3380CC4-5D6E-409C-BE32-E72D297353CC}">
                <c16:uniqueId val="{00000003-6981-4A08-9659-4FE6CF39661B}"/>
              </c:ext>
            </c:extLst>
          </c:dPt>
          <c:dPt>
            <c:idx val="2"/>
            <c:bubble3D val="0"/>
            <c:spPr>
              <a:solidFill>
                <a:schemeClr val="accent2">
                  <a:tint val="90000"/>
                </a:schemeClr>
              </a:solidFill>
              <a:ln w="19050">
                <a:solidFill>
                  <a:schemeClr val="lt1"/>
                </a:solidFill>
              </a:ln>
              <a:effectLst/>
            </c:spPr>
            <c:extLst>
              <c:ext xmlns:c16="http://schemas.microsoft.com/office/drawing/2014/chart" uri="{C3380CC4-5D6E-409C-BE32-E72D297353CC}">
                <c16:uniqueId val="{00000005-6981-4A08-9659-4FE6CF39661B}"/>
              </c:ext>
            </c:extLst>
          </c:dPt>
          <c:dPt>
            <c:idx val="3"/>
            <c:bubble3D val="0"/>
            <c:spPr>
              <a:solidFill>
                <a:schemeClr val="accent2">
                  <a:shade val="90000"/>
                </a:schemeClr>
              </a:solidFill>
              <a:ln w="19050">
                <a:solidFill>
                  <a:schemeClr val="lt1"/>
                </a:solidFill>
              </a:ln>
              <a:effectLst/>
            </c:spPr>
            <c:extLst>
              <c:ext xmlns:c16="http://schemas.microsoft.com/office/drawing/2014/chart" uri="{C3380CC4-5D6E-409C-BE32-E72D297353CC}">
                <c16:uniqueId val="{00000007-6981-4A08-9659-4FE6CF39661B}"/>
              </c:ext>
            </c:extLst>
          </c:dPt>
          <c:dPt>
            <c:idx val="4"/>
            <c:bubble3D val="0"/>
            <c:spPr>
              <a:solidFill>
                <a:schemeClr val="accent2">
                  <a:shade val="70000"/>
                </a:schemeClr>
              </a:solidFill>
              <a:ln w="19050">
                <a:solidFill>
                  <a:schemeClr val="lt1"/>
                </a:solidFill>
              </a:ln>
              <a:effectLst/>
            </c:spPr>
            <c:extLst>
              <c:ext xmlns:c16="http://schemas.microsoft.com/office/drawing/2014/chart" uri="{C3380CC4-5D6E-409C-BE32-E72D297353CC}">
                <c16:uniqueId val="{00000009-6981-4A08-9659-4FE6CF39661B}"/>
              </c:ext>
            </c:extLst>
          </c:dPt>
          <c:dPt>
            <c:idx val="5"/>
            <c:bubble3D val="0"/>
            <c:spPr>
              <a:solidFill>
                <a:schemeClr val="accent2">
                  <a:shade val="50000"/>
                </a:schemeClr>
              </a:solidFill>
              <a:ln w="19050">
                <a:solidFill>
                  <a:schemeClr val="lt1"/>
                </a:solidFill>
              </a:ln>
              <a:effectLst/>
            </c:spPr>
            <c:extLst>
              <c:ext xmlns:c16="http://schemas.microsoft.com/office/drawing/2014/chart" uri="{C3380CC4-5D6E-409C-BE32-E72D297353CC}">
                <c16:uniqueId val="{0000000B-6981-4A08-9659-4FE6CF39661B}"/>
              </c:ext>
            </c:extLst>
          </c:dPt>
          <c:dLbls>
            <c:dLbl>
              <c:idx val="0"/>
              <c:layout>
                <c:manualLayout>
                  <c:x val="2.0833333333333162E-2"/>
                  <c:y val="-8.730158730158729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lumMod val="60000"/>
                          <a:lumOff val="4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81-4A08-9659-4FE6CF39661B}"/>
                </c:ext>
              </c:extLst>
            </c:dLbl>
            <c:dLbl>
              <c:idx val="1"/>
              <c:layout>
                <c:manualLayout>
                  <c:x val="4.1666666666666664E-2"/>
                  <c:y val="-6.34920634920635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lumMod val="20000"/>
                          <a:lumOff val="8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81-4A08-9659-4FE6CF39661B}"/>
                </c:ext>
              </c:extLst>
            </c:dLbl>
            <c:dLbl>
              <c:idx val="2"/>
              <c:layout>
                <c:manualLayout>
                  <c:x val="6.9444444444444281E-2"/>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lumMod val="20000"/>
                          <a:lumOff val="8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81-4A08-9659-4FE6CF39661B}"/>
                </c:ext>
              </c:extLst>
            </c:dLbl>
            <c:dLbl>
              <c:idx val="3"/>
              <c:layout>
                <c:manualLayout>
                  <c:x val="7.1759259259259259E-2"/>
                  <c:y val="-9.9206349206349929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accent2">
                          <a:lumMod val="20000"/>
                          <a:lumOff val="8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1156259113444153"/>
                      <c:h val="8.1944444444444445E-2"/>
                    </c:manualLayout>
                  </c15:layout>
                </c:ext>
                <c:ext xmlns:c16="http://schemas.microsoft.com/office/drawing/2014/chart" uri="{C3380CC4-5D6E-409C-BE32-E72D297353CC}">
                  <c16:uniqueId val="{00000007-6981-4A08-9659-4FE6CF39661B}"/>
                </c:ext>
              </c:extLst>
            </c:dLbl>
            <c:dLbl>
              <c:idx val="4"/>
              <c:layout>
                <c:manualLayout>
                  <c:x val="8.1018518518518517E-2"/>
                  <c:y val="3.968253968253968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lumMod val="20000"/>
                          <a:lumOff val="8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81-4A08-9659-4FE6CF39661B}"/>
                </c:ext>
              </c:extLst>
            </c:dLbl>
            <c:dLbl>
              <c:idx val="5"/>
              <c:layout>
                <c:manualLayout>
                  <c:x val="0.12499999999999992"/>
                  <c:y val="9.126984126984126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981-4A08-9659-4FE6CF39661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1st The Vanguard Group Inc.</c:v>
                </c:pt>
                <c:pt idx="1">
                  <c:v>2nd BlackRock Fund Advisors</c:v>
                </c:pt>
                <c:pt idx="2">
                  <c:v>3rd SSgA Funds Management, Inc</c:v>
                </c:pt>
                <c:pt idx="3">
                  <c:v>4th Edgewood Management, Inc</c:v>
                </c:pt>
                <c:pt idx="4">
                  <c:v>5th T.Rowe Price Associates</c:v>
                </c:pt>
                <c:pt idx="5">
                  <c:v>OTHER</c:v>
                </c:pt>
              </c:strCache>
            </c:strRef>
          </c:cat>
          <c:val>
            <c:numRef>
              <c:f>Sheet1!$B$2:$B$7</c:f>
              <c:numCache>
                <c:formatCode>0.00%</c:formatCode>
                <c:ptCount val="6"/>
                <c:pt idx="0">
                  <c:v>8.09E-2</c:v>
                </c:pt>
                <c:pt idx="1">
                  <c:v>4.6800000000000001E-2</c:v>
                </c:pt>
                <c:pt idx="2">
                  <c:v>4.4699999999999997E-2</c:v>
                </c:pt>
                <c:pt idx="3">
                  <c:v>3.1199999999999999E-2</c:v>
                </c:pt>
                <c:pt idx="4">
                  <c:v>2.1100000000000001E-2</c:v>
                </c:pt>
                <c:pt idx="5">
                  <c:v>0.62809999999999999</c:v>
                </c:pt>
              </c:numCache>
            </c:numRef>
          </c:val>
          <c:extLst>
            <c:ext xmlns:c16="http://schemas.microsoft.com/office/drawing/2014/chart" uri="{C3380CC4-5D6E-409C-BE32-E72D297353CC}">
              <c16:uniqueId val="{0000000C-6981-4A08-9659-4FE6CF39661B}"/>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l"/>
      <c:layout>
        <c:manualLayout>
          <c:xMode val="edge"/>
          <c:yMode val="edge"/>
          <c:x val="1.1218098532298776E-2"/>
          <c:y val="0.20549771727477728"/>
          <c:w val="0.41683951420627902"/>
          <c:h val="0.7013724076743927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accent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1">
        <a:lumMod val="75000"/>
        <a:lumOff val="2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1DCD7B1DD5D847991F8671ED13A14D" ma:contentTypeVersion="13" ma:contentTypeDescription="Create a new document." ma:contentTypeScope="" ma:versionID="0a4aa692ab8a2b66ea72c96e58eec389">
  <xsd:schema xmlns:xsd="http://www.w3.org/2001/XMLSchema" xmlns:xs="http://www.w3.org/2001/XMLSchema" xmlns:p="http://schemas.microsoft.com/office/2006/metadata/properties" xmlns:ns3="a9e3217a-e693-4226-b971-35217164e4c2" xmlns:ns4="2c2bdc00-aa57-43fe-9af8-ab45434ab8cc" targetNamespace="http://schemas.microsoft.com/office/2006/metadata/properties" ma:root="true" ma:fieldsID="7a8bf51df493cc56c5c29396b9aa6be5" ns3:_="" ns4:_="">
    <xsd:import namespace="a9e3217a-e693-4226-b971-35217164e4c2"/>
    <xsd:import namespace="2c2bdc00-aa57-43fe-9af8-ab45434ab8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3217a-e693-4226-b971-35217164e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bdc00-aa57-43fe-9af8-ab45434ab8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CFE38-0D70-42CD-B3E7-2D38E1980A90}">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a9e3217a-e693-4226-b971-35217164e4c2"/>
    <ds:schemaRef ds:uri="http://schemas.microsoft.com/office/infopath/2007/PartnerControls"/>
    <ds:schemaRef ds:uri="http://schemas.openxmlformats.org/package/2006/metadata/core-properties"/>
    <ds:schemaRef ds:uri="2c2bdc00-aa57-43fe-9af8-ab45434ab8cc"/>
    <ds:schemaRef ds:uri="http://purl.org/dc/dcmitype/"/>
  </ds:schemaRefs>
</ds:datastoreItem>
</file>

<file path=customXml/itemProps2.xml><?xml version="1.0" encoding="utf-8"?>
<ds:datastoreItem xmlns:ds="http://schemas.openxmlformats.org/officeDocument/2006/customXml" ds:itemID="{548D44D4-FEAC-4741-BCED-26308C6C9FD6}">
  <ds:schemaRefs>
    <ds:schemaRef ds:uri="http://schemas.openxmlformats.org/officeDocument/2006/bibliography"/>
  </ds:schemaRefs>
</ds:datastoreItem>
</file>

<file path=customXml/itemProps3.xml><?xml version="1.0" encoding="utf-8"?>
<ds:datastoreItem xmlns:ds="http://schemas.openxmlformats.org/officeDocument/2006/customXml" ds:itemID="{4D6F84E5-9FBA-4DFD-B24B-1F701B03E0E9}">
  <ds:schemaRefs>
    <ds:schemaRef ds:uri="http://schemas.microsoft.com/sharepoint/v3/contenttype/forms"/>
  </ds:schemaRefs>
</ds:datastoreItem>
</file>

<file path=customXml/itemProps4.xml><?xml version="1.0" encoding="utf-8"?>
<ds:datastoreItem xmlns:ds="http://schemas.openxmlformats.org/officeDocument/2006/customXml" ds:itemID="{10F5F489-EDB5-4A18-954C-DE431AE5B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3217a-e693-4226-b971-35217164e4c2"/>
    <ds:schemaRef ds:uri="2c2bdc00-aa57-43fe-9af8-ab45434ab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Tollison, Riley James</cp:lastModifiedBy>
  <cp:revision>2</cp:revision>
  <dcterms:created xsi:type="dcterms:W3CDTF">2020-12-08T15:34:00Z</dcterms:created>
  <dcterms:modified xsi:type="dcterms:W3CDTF">2020-12-08T15:34:00Z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0x010100BB1DCD7B1DD5D847991F8671ED13A14D</vt:lpwstr>
  </property>
</Properties>
</file>