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1D7DC" w14:textId="75A2FA93" w:rsidR="004C1D9A" w:rsidRPr="00AC7D8A" w:rsidRDefault="005517EB" w:rsidP="004C1D9A">
      <w:pPr>
        <w:jc w:val="center"/>
        <w:rPr>
          <w:b/>
          <w:sz w:val="28"/>
          <w:szCs w:val="28"/>
        </w:rPr>
      </w:pPr>
      <w:r w:rsidRPr="00AC7D8A">
        <w:rPr>
          <w:b/>
          <w:sz w:val="28"/>
          <w:szCs w:val="28"/>
        </w:rPr>
        <w:t>Verizon Communications Inc.</w:t>
      </w:r>
      <w:r w:rsidR="004C1D9A" w:rsidRPr="00AC7D8A">
        <w:rPr>
          <w:b/>
          <w:sz w:val="28"/>
          <w:szCs w:val="28"/>
        </w:rPr>
        <w:t xml:space="preserve"> (N</w:t>
      </w:r>
      <w:r w:rsidRPr="00AC7D8A">
        <w:rPr>
          <w:b/>
          <w:sz w:val="28"/>
          <w:szCs w:val="28"/>
        </w:rPr>
        <w:t>YSE</w:t>
      </w:r>
      <w:r w:rsidR="004C1D9A" w:rsidRPr="00AC7D8A">
        <w:rPr>
          <w:b/>
          <w:sz w:val="28"/>
          <w:szCs w:val="28"/>
        </w:rPr>
        <w:t xml:space="preserve">: </w:t>
      </w:r>
      <w:r w:rsidRPr="00AC7D8A">
        <w:rPr>
          <w:b/>
          <w:sz w:val="28"/>
          <w:szCs w:val="28"/>
        </w:rPr>
        <w:t>VZ</w:t>
      </w:r>
      <w:r w:rsidR="004C1D9A" w:rsidRPr="00AC7D8A">
        <w:rPr>
          <w:b/>
          <w:sz w:val="28"/>
          <w:szCs w:val="28"/>
        </w:rPr>
        <w:t>)</w:t>
      </w:r>
    </w:p>
    <w:p w14:paraId="602780F2" w14:textId="4D0515D9" w:rsidR="004C1D9A" w:rsidRPr="00AC7D8A" w:rsidRDefault="004C1D9A" w:rsidP="004C1D9A">
      <w:pPr>
        <w:rPr>
          <w:b/>
          <w:szCs w:val="28"/>
        </w:rPr>
      </w:pPr>
      <w:r w:rsidRPr="00AC7D8A">
        <w:rPr>
          <w:b/>
          <w:szCs w:val="28"/>
        </w:rPr>
        <w:t>Luis De La Peña and Jesse Tredinnick</w:t>
      </w:r>
      <w:r w:rsidRPr="00AC7D8A">
        <w:rPr>
          <w:b/>
          <w:szCs w:val="28"/>
        </w:rPr>
        <w:tab/>
      </w:r>
      <w:r w:rsidRPr="00AC7D8A">
        <w:rPr>
          <w:b/>
          <w:szCs w:val="28"/>
        </w:rPr>
        <w:tab/>
      </w:r>
      <w:r w:rsidRPr="00AC7D8A">
        <w:rPr>
          <w:b/>
          <w:szCs w:val="28"/>
        </w:rPr>
        <w:tab/>
      </w:r>
      <w:r w:rsidRPr="00AC7D8A">
        <w:rPr>
          <w:b/>
          <w:szCs w:val="28"/>
        </w:rPr>
        <w:tab/>
      </w:r>
      <w:r w:rsidRPr="00AC7D8A">
        <w:rPr>
          <w:b/>
          <w:szCs w:val="28"/>
        </w:rPr>
        <w:tab/>
      </w:r>
      <w:r w:rsidR="005517EB" w:rsidRPr="00AC7D8A">
        <w:rPr>
          <w:b/>
          <w:szCs w:val="28"/>
        </w:rPr>
        <w:t xml:space="preserve">       Telecommunications</w:t>
      </w:r>
      <w:r w:rsidRPr="00AC7D8A">
        <w:rPr>
          <w:b/>
          <w:szCs w:val="28"/>
        </w:rPr>
        <w:t xml:space="preserve"> Sector</w:t>
      </w:r>
    </w:p>
    <w:p w14:paraId="054B04D1" w14:textId="7839C86E" w:rsidR="004C1D9A" w:rsidRPr="00AC7D8A" w:rsidRDefault="004C1D9A" w:rsidP="004C1D9A">
      <w:pPr>
        <w:rPr>
          <w:b/>
          <w:szCs w:val="28"/>
        </w:rPr>
      </w:pPr>
      <w:r w:rsidRPr="00AC7D8A">
        <w:rPr>
          <w:b/>
          <w:noProof/>
          <w:szCs w:val="28"/>
        </w:rPr>
        <mc:AlternateContent>
          <mc:Choice Requires="wps">
            <w:drawing>
              <wp:anchor distT="0" distB="0" distL="114300" distR="114300" simplePos="0" relativeHeight="251659264" behindDoc="0" locked="0" layoutInCell="1" allowOverlap="1" wp14:anchorId="5BCB2A02" wp14:editId="25A2BA28">
                <wp:simplePos x="0" y="0"/>
                <wp:positionH relativeFrom="margin">
                  <wp:align>left</wp:align>
                </wp:positionH>
                <wp:positionV relativeFrom="paragraph">
                  <wp:posOffset>106680</wp:posOffset>
                </wp:positionV>
                <wp:extent cx="5915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15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3CF699"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4pt" to="465.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" strokecolor="#5b9bd5 [3204]" strokeweight=".5pt">
                <v:stroke joinstyle="miter"/>
                <w10:wrap anchorx="margin"/>
              </v:line>
            </w:pict>
          </mc:Fallback>
        </mc:AlternateContent>
      </w:r>
    </w:p>
    <w:p w14:paraId="2EF1BA9C" w14:textId="6C9FD5F1" w:rsidR="001E43D5" w:rsidRPr="00AC7D8A" w:rsidRDefault="001E43D5">
      <w:pPr>
        <w:rPr>
          <w:b/>
        </w:rPr>
      </w:pPr>
      <w:r w:rsidRPr="00AC7D8A">
        <w:rPr>
          <w:b/>
        </w:rPr>
        <w:t>Introduction</w:t>
      </w:r>
    </w:p>
    <w:p w14:paraId="73AE4B1A" w14:textId="38FAD39F" w:rsidR="00AB2D75" w:rsidRPr="00AC7D8A" w:rsidRDefault="005517EB" w:rsidP="00AB2D75">
      <w:r w:rsidRPr="00AC7D8A">
        <w:t xml:space="preserve">Verizon Communications Inc. (NYSE: VZ), is an American multinational telecommunications </w:t>
      </w:r>
      <w:r w:rsidR="007F2168" w:rsidRPr="00AC7D8A">
        <w:t>company that provides communication services to consumers, businesses, and government agencies by two separate segments: Wireline and wireless. Its wireless segment, Verizon Wireless is the largest carrier of wireless service in the United States. It serves approximately 114 million connections across the U.S. on its wireline segment, Verizon is focusing on the next generation fiber optic wired internet “Verizon Fios.” Verizon’s revenues can be designated to come from three segments which are its services (Wireline and Wireless) at 63.12%, selling of equipment at 18.89% and Others at 5.5%. Through its services, it sells wireless access (including calls, text, and data) directly to consumers through post-paid customers</w:t>
      </w:r>
      <w:r w:rsidR="00863E93" w:rsidRPr="00AC7D8A">
        <w:t xml:space="preserve"> to their smartphones, tablets, and wearables. Verizon communication also sells in-house internet connection through its wireline service. The most advanced part of this segment is the fiber optic connection that gives extremely high internet speeds to those lucky enough to have access to it. Verizon has been working very hard to bring this access to anyone who wants it but due to the extremely high infrastructure costs of introducing fiber optic cables to a new place it is a very slow process. As far as advancements in communications technology, Verizon is leading the charge in the 5</w:t>
      </w:r>
      <w:r w:rsidR="00863E93" w:rsidRPr="00AC7D8A">
        <w:rPr>
          <w:vertAlign w:val="superscript"/>
        </w:rPr>
        <w:t>th</w:t>
      </w:r>
      <w:r w:rsidR="00863E93" w:rsidRPr="00AC7D8A">
        <w:t xml:space="preserve"> Generation wireless technology (5G). Over the last several years, they have worked with key partners and innovators to develop this breakthrough technology and have been one of the first telecommunication companies to test it out </w:t>
      </w:r>
      <w:r w:rsidR="00304636" w:rsidRPr="00AC7D8A">
        <w:t>with actual markets. In 2018, they plan to bring the technology to 3-5 major U.S markets for further testing. Verizon Communications Inc. is based in New York City and was incorporated in Delaware. I</w:t>
      </w:r>
      <w:r w:rsidR="006B6FB7">
        <w:t>t</w:t>
      </w:r>
      <w:r w:rsidR="00304636" w:rsidRPr="00AC7D8A">
        <w:t xml:space="preserve"> was created in 2000 with the merger of Bell Atlantic Corp. and GTE Corp.</w:t>
      </w:r>
    </w:p>
    <w:tbl>
      <w:tblPr>
        <w:tblStyle w:val="TableGrid"/>
        <w:tblW w:w="0" w:type="auto"/>
        <w:tblLook w:val="04A0" w:firstRow="1" w:lastRow="0" w:firstColumn="1" w:lastColumn="0" w:noHBand="0" w:noVBand="1"/>
      </w:tblPr>
      <w:tblGrid>
        <w:gridCol w:w="2785"/>
        <w:gridCol w:w="1889"/>
        <w:gridCol w:w="2338"/>
        <w:gridCol w:w="2338"/>
      </w:tblGrid>
      <w:tr w:rsidR="00AB2D75" w:rsidRPr="00AC7D8A" w14:paraId="1147B6C6" w14:textId="77777777" w:rsidTr="00A06CE3">
        <w:tc>
          <w:tcPr>
            <w:tcW w:w="2785" w:type="dxa"/>
          </w:tcPr>
          <w:p w14:paraId="40FC98AE" w14:textId="77777777" w:rsidR="00AB2D75" w:rsidRPr="00AC7D8A" w:rsidRDefault="00AB2D75" w:rsidP="001314BB">
            <w:pPr>
              <w:rPr>
                <w:b/>
              </w:rPr>
            </w:pPr>
            <w:r w:rsidRPr="00AC7D8A">
              <w:rPr>
                <w:b/>
              </w:rPr>
              <w:t>Price</w:t>
            </w:r>
          </w:p>
        </w:tc>
        <w:tc>
          <w:tcPr>
            <w:tcW w:w="1889" w:type="dxa"/>
          </w:tcPr>
          <w:p w14:paraId="357A22CE" w14:textId="37C76967" w:rsidR="00AB2D75" w:rsidRPr="00AC7D8A" w:rsidRDefault="000353EA" w:rsidP="001314BB">
            <w:r w:rsidRPr="00AC7D8A">
              <w:t>$48.66</w:t>
            </w:r>
          </w:p>
        </w:tc>
        <w:tc>
          <w:tcPr>
            <w:tcW w:w="2338" w:type="dxa"/>
          </w:tcPr>
          <w:p w14:paraId="2995F947" w14:textId="77777777" w:rsidR="00AB2D75" w:rsidRPr="00AC7D8A" w:rsidRDefault="00AB2D75" w:rsidP="001314BB">
            <w:pPr>
              <w:rPr>
                <w:b/>
              </w:rPr>
            </w:pPr>
            <w:r w:rsidRPr="00AC7D8A">
              <w:rPr>
                <w:b/>
              </w:rPr>
              <w:t>Beta</w:t>
            </w:r>
          </w:p>
        </w:tc>
        <w:tc>
          <w:tcPr>
            <w:tcW w:w="2338" w:type="dxa"/>
          </w:tcPr>
          <w:p w14:paraId="7988D45C" w14:textId="239AE17B" w:rsidR="00AB2D75" w:rsidRPr="00AC7D8A" w:rsidRDefault="0085509D" w:rsidP="001314BB">
            <w:r w:rsidRPr="00AC7D8A">
              <w:t>.8</w:t>
            </w:r>
          </w:p>
        </w:tc>
      </w:tr>
      <w:tr w:rsidR="00AB2D75" w:rsidRPr="00AC7D8A" w14:paraId="4602CA67" w14:textId="77777777" w:rsidTr="00A06CE3">
        <w:tc>
          <w:tcPr>
            <w:tcW w:w="2785" w:type="dxa"/>
          </w:tcPr>
          <w:p w14:paraId="073B8C65" w14:textId="77777777" w:rsidR="00AB2D75" w:rsidRPr="00AC7D8A" w:rsidRDefault="00AB2D75" w:rsidP="001314BB">
            <w:pPr>
              <w:rPr>
                <w:b/>
              </w:rPr>
            </w:pPr>
            <w:r w:rsidRPr="00AC7D8A">
              <w:rPr>
                <w:b/>
              </w:rPr>
              <w:t>Price Target</w:t>
            </w:r>
          </w:p>
        </w:tc>
        <w:tc>
          <w:tcPr>
            <w:tcW w:w="1889" w:type="dxa"/>
          </w:tcPr>
          <w:p w14:paraId="1285B697" w14:textId="2782336F" w:rsidR="00AB2D75" w:rsidRPr="00AC7D8A" w:rsidRDefault="00E94393" w:rsidP="001314BB">
            <w:r w:rsidRPr="00AC7D8A">
              <w:t>$</w:t>
            </w:r>
            <w:r w:rsidR="00B20CE0" w:rsidRPr="00AC7D8A">
              <w:t>52.56</w:t>
            </w:r>
          </w:p>
        </w:tc>
        <w:tc>
          <w:tcPr>
            <w:tcW w:w="2338" w:type="dxa"/>
          </w:tcPr>
          <w:p w14:paraId="2EBA85AA" w14:textId="77777777" w:rsidR="00AB2D75" w:rsidRPr="00AC7D8A" w:rsidRDefault="00AB2D75" w:rsidP="001314BB">
            <w:pPr>
              <w:rPr>
                <w:b/>
              </w:rPr>
            </w:pPr>
            <w:r w:rsidRPr="00AC7D8A">
              <w:rPr>
                <w:b/>
              </w:rPr>
              <w:t>Price/Sales</w:t>
            </w:r>
          </w:p>
        </w:tc>
        <w:tc>
          <w:tcPr>
            <w:tcW w:w="2338" w:type="dxa"/>
          </w:tcPr>
          <w:p w14:paraId="44A6972F" w14:textId="36A667C3" w:rsidR="00AB2D75" w:rsidRPr="00AC7D8A" w:rsidRDefault="000353EA" w:rsidP="001314BB">
            <w:r w:rsidRPr="00AC7D8A">
              <w:t>1.55</w:t>
            </w:r>
          </w:p>
        </w:tc>
      </w:tr>
      <w:tr w:rsidR="00AB2D75" w:rsidRPr="00AC7D8A" w14:paraId="1416796F" w14:textId="77777777" w:rsidTr="00A06CE3">
        <w:tc>
          <w:tcPr>
            <w:tcW w:w="2785" w:type="dxa"/>
          </w:tcPr>
          <w:p w14:paraId="741BB392" w14:textId="4FE7B98E" w:rsidR="00AB2D75" w:rsidRPr="00AC7D8A" w:rsidRDefault="00AB2D75" w:rsidP="001314BB">
            <w:pPr>
              <w:rPr>
                <w:b/>
              </w:rPr>
            </w:pPr>
            <w:r w:rsidRPr="00AC7D8A">
              <w:rPr>
                <w:b/>
              </w:rPr>
              <w:t xml:space="preserve">52 </w:t>
            </w:r>
            <w:r w:rsidR="006A1355" w:rsidRPr="00AC7D8A">
              <w:rPr>
                <w:b/>
              </w:rPr>
              <w:t>WK</w:t>
            </w:r>
            <w:r w:rsidRPr="00AC7D8A">
              <w:rPr>
                <w:b/>
              </w:rPr>
              <w:t xml:space="preserve"> High</w:t>
            </w:r>
            <w:r w:rsidR="006A1355" w:rsidRPr="00AC7D8A">
              <w:rPr>
                <w:b/>
              </w:rPr>
              <w:t>-</w:t>
            </w:r>
            <w:r w:rsidRPr="00AC7D8A">
              <w:rPr>
                <w:b/>
              </w:rPr>
              <w:t>Low</w:t>
            </w:r>
          </w:p>
        </w:tc>
        <w:tc>
          <w:tcPr>
            <w:tcW w:w="1889" w:type="dxa"/>
          </w:tcPr>
          <w:p w14:paraId="65C4E64B" w14:textId="176439E6" w:rsidR="00AB2D75" w:rsidRPr="00AC7D8A" w:rsidRDefault="00AB2D75" w:rsidP="001314BB">
            <w:r w:rsidRPr="00AC7D8A">
              <w:t>$</w:t>
            </w:r>
            <w:r w:rsidR="000353EA" w:rsidRPr="00AC7D8A">
              <w:t>42.8</w:t>
            </w:r>
            <w:r w:rsidRPr="00AC7D8A">
              <w:t>-</w:t>
            </w:r>
            <w:r w:rsidR="000353EA" w:rsidRPr="00AC7D8A">
              <w:t>54.77</w:t>
            </w:r>
          </w:p>
        </w:tc>
        <w:tc>
          <w:tcPr>
            <w:tcW w:w="2338" w:type="dxa"/>
          </w:tcPr>
          <w:p w14:paraId="4DC3A7A2" w14:textId="77777777" w:rsidR="00AB2D75" w:rsidRPr="00AC7D8A" w:rsidRDefault="00AB2D75" w:rsidP="001314BB">
            <w:pPr>
              <w:rPr>
                <w:b/>
              </w:rPr>
            </w:pPr>
            <w:r w:rsidRPr="00AC7D8A">
              <w:rPr>
                <w:b/>
              </w:rPr>
              <w:t>Gross Margin</w:t>
            </w:r>
          </w:p>
        </w:tc>
        <w:tc>
          <w:tcPr>
            <w:tcW w:w="2338" w:type="dxa"/>
          </w:tcPr>
          <w:p w14:paraId="6602CA44" w14:textId="7D50D0E3" w:rsidR="00AB2D75" w:rsidRPr="00AC7D8A" w:rsidRDefault="000353EA" w:rsidP="001314BB">
            <w:r w:rsidRPr="00AC7D8A">
              <w:t xml:space="preserve">59.1 </w:t>
            </w:r>
            <w:r w:rsidR="00AB2D75" w:rsidRPr="00AC7D8A">
              <w:t>%</w:t>
            </w:r>
          </w:p>
        </w:tc>
      </w:tr>
      <w:tr w:rsidR="00AB2D75" w:rsidRPr="00AC7D8A" w14:paraId="240379AC" w14:textId="77777777" w:rsidTr="00A06CE3">
        <w:tc>
          <w:tcPr>
            <w:tcW w:w="2785" w:type="dxa"/>
          </w:tcPr>
          <w:p w14:paraId="3D3D4BED" w14:textId="06AB2BCA" w:rsidR="00AB2D75" w:rsidRPr="00AC7D8A" w:rsidRDefault="00AB2D75" w:rsidP="001314BB">
            <w:pPr>
              <w:rPr>
                <w:b/>
              </w:rPr>
            </w:pPr>
            <w:r w:rsidRPr="00AC7D8A">
              <w:rPr>
                <w:b/>
              </w:rPr>
              <w:t>Market Cap</w:t>
            </w:r>
            <w:r w:rsidR="0085509D" w:rsidRPr="00AC7D8A">
              <w:rPr>
                <w:b/>
              </w:rPr>
              <w:t xml:space="preserve"> (bil)</w:t>
            </w:r>
          </w:p>
        </w:tc>
        <w:tc>
          <w:tcPr>
            <w:tcW w:w="1889" w:type="dxa"/>
          </w:tcPr>
          <w:p w14:paraId="73968A34" w14:textId="6BEFD894" w:rsidR="00AB2D75" w:rsidRPr="00AC7D8A" w:rsidRDefault="001C1BAA" w:rsidP="001314BB">
            <w:r>
              <w:t>$</w:t>
            </w:r>
            <w:r w:rsidR="000353EA" w:rsidRPr="00AC7D8A">
              <w:t>200.97 Bil</w:t>
            </w:r>
          </w:p>
        </w:tc>
        <w:tc>
          <w:tcPr>
            <w:tcW w:w="2338" w:type="dxa"/>
          </w:tcPr>
          <w:p w14:paraId="7140D530" w14:textId="77777777" w:rsidR="00AB2D75" w:rsidRPr="00AC7D8A" w:rsidRDefault="00AB2D75" w:rsidP="001314BB">
            <w:pPr>
              <w:rPr>
                <w:b/>
              </w:rPr>
            </w:pPr>
            <w:r w:rsidRPr="00AC7D8A">
              <w:rPr>
                <w:b/>
              </w:rPr>
              <w:t xml:space="preserve">EPS </w:t>
            </w:r>
          </w:p>
        </w:tc>
        <w:tc>
          <w:tcPr>
            <w:tcW w:w="2338" w:type="dxa"/>
          </w:tcPr>
          <w:p w14:paraId="5F3F8CA5" w14:textId="38FBAE59" w:rsidR="00AB2D75" w:rsidRPr="00AC7D8A" w:rsidRDefault="000353EA" w:rsidP="001314BB">
            <w:r w:rsidRPr="00AC7D8A">
              <w:t>$7.36</w:t>
            </w:r>
          </w:p>
        </w:tc>
      </w:tr>
      <w:tr w:rsidR="00AB2D75" w:rsidRPr="00AC7D8A" w14:paraId="514BD0E3" w14:textId="77777777" w:rsidTr="00A06CE3">
        <w:tc>
          <w:tcPr>
            <w:tcW w:w="2785" w:type="dxa"/>
          </w:tcPr>
          <w:p w14:paraId="345F8C42" w14:textId="6E933170" w:rsidR="00AB2D75" w:rsidRPr="00AC7D8A" w:rsidRDefault="00AB2D75" w:rsidP="001314BB">
            <w:pPr>
              <w:rPr>
                <w:b/>
              </w:rPr>
            </w:pPr>
            <w:r w:rsidRPr="00AC7D8A">
              <w:rPr>
                <w:b/>
              </w:rPr>
              <w:t>Avg. Daily Volume</w:t>
            </w:r>
            <w:r w:rsidR="000353EA" w:rsidRPr="00AC7D8A">
              <w:rPr>
                <w:b/>
              </w:rPr>
              <w:t xml:space="preserve"> (mil)</w:t>
            </w:r>
          </w:p>
        </w:tc>
        <w:tc>
          <w:tcPr>
            <w:tcW w:w="1889" w:type="dxa"/>
          </w:tcPr>
          <w:p w14:paraId="50949279" w14:textId="3706DA30" w:rsidR="00AB2D75" w:rsidRPr="00AC7D8A" w:rsidRDefault="00AB2D75" w:rsidP="00A06CE3">
            <w:r w:rsidRPr="00AC7D8A">
              <w:t>1</w:t>
            </w:r>
            <w:r w:rsidR="000353EA" w:rsidRPr="00AC7D8A">
              <w:t>6.9 Mil</w:t>
            </w:r>
          </w:p>
        </w:tc>
        <w:tc>
          <w:tcPr>
            <w:tcW w:w="2338" w:type="dxa"/>
          </w:tcPr>
          <w:p w14:paraId="6EC40545" w14:textId="77777777" w:rsidR="00AB2D75" w:rsidRPr="00AC7D8A" w:rsidRDefault="00AB2D75" w:rsidP="00A06CE3">
            <w:pPr>
              <w:rPr>
                <w:b/>
              </w:rPr>
            </w:pPr>
            <w:r w:rsidRPr="00AC7D8A">
              <w:rPr>
                <w:b/>
              </w:rPr>
              <w:t>ROA</w:t>
            </w:r>
          </w:p>
        </w:tc>
        <w:tc>
          <w:tcPr>
            <w:tcW w:w="2338" w:type="dxa"/>
          </w:tcPr>
          <w:p w14:paraId="710B15AF" w14:textId="29425C60" w:rsidR="00AB2D75" w:rsidRPr="00AC7D8A" w:rsidRDefault="000353EA" w:rsidP="00A06CE3">
            <w:r w:rsidRPr="00AC7D8A">
              <w:t>12.01%</w:t>
            </w:r>
          </w:p>
        </w:tc>
      </w:tr>
      <w:tr w:rsidR="00AB2D75" w:rsidRPr="00AC7D8A" w14:paraId="416ADAD3" w14:textId="77777777" w:rsidTr="00A06CE3">
        <w:tc>
          <w:tcPr>
            <w:tcW w:w="2785" w:type="dxa"/>
          </w:tcPr>
          <w:p w14:paraId="6499671C" w14:textId="5ED36279" w:rsidR="00AB2D75" w:rsidRPr="00AC7D8A" w:rsidRDefault="000353EA" w:rsidP="001314BB">
            <w:pPr>
              <w:rPr>
                <w:b/>
              </w:rPr>
            </w:pPr>
            <w:r w:rsidRPr="00AC7D8A">
              <w:rPr>
                <w:b/>
              </w:rPr>
              <w:t>P/E</w:t>
            </w:r>
          </w:p>
        </w:tc>
        <w:tc>
          <w:tcPr>
            <w:tcW w:w="1889" w:type="dxa"/>
          </w:tcPr>
          <w:p w14:paraId="6C15846C" w14:textId="564994C1" w:rsidR="00AB2D75" w:rsidRPr="00AC7D8A" w:rsidRDefault="000353EA" w:rsidP="001314BB">
            <w:r w:rsidRPr="00AC7D8A">
              <w:t>6.29</w:t>
            </w:r>
          </w:p>
        </w:tc>
        <w:tc>
          <w:tcPr>
            <w:tcW w:w="2338" w:type="dxa"/>
          </w:tcPr>
          <w:p w14:paraId="1086089E" w14:textId="77777777" w:rsidR="00AB2D75" w:rsidRPr="00AC7D8A" w:rsidRDefault="00AB2D75" w:rsidP="001314BB">
            <w:pPr>
              <w:rPr>
                <w:b/>
              </w:rPr>
            </w:pPr>
            <w:r w:rsidRPr="00AC7D8A">
              <w:rPr>
                <w:b/>
              </w:rPr>
              <w:t>ROE</w:t>
            </w:r>
          </w:p>
        </w:tc>
        <w:tc>
          <w:tcPr>
            <w:tcW w:w="2338" w:type="dxa"/>
          </w:tcPr>
          <w:p w14:paraId="01053FBD" w14:textId="64678AB5" w:rsidR="00AB2D75" w:rsidRPr="00AC7D8A" w:rsidRDefault="000353EA" w:rsidP="001314BB">
            <w:r w:rsidRPr="00AC7D8A">
              <w:t>91.74%</w:t>
            </w:r>
          </w:p>
        </w:tc>
      </w:tr>
      <w:tr w:rsidR="00AB2D75" w:rsidRPr="00AC7D8A" w14:paraId="3DAB421E" w14:textId="77777777" w:rsidTr="00A06CE3">
        <w:trPr>
          <w:trHeight w:val="251"/>
        </w:trPr>
        <w:tc>
          <w:tcPr>
            <w:tcW w:w="2785" w:type="dxa"/>
          </w:tcPr>
          <w:p w14:paraId="3B59AE17" w14:textId="6E707913" w:rsidR="00AB2D75" w:rsidRPr="00AC7D8A" w:rsidRDefault="00AB2D75" w:rsidP="001314BB">
            <w:pPr>
              <w:rPr>
                <w:b/>
              </w:rPr>
            </w:pPr>
            <w:r w:rsidRPr="00AC7D8A">
              <w:rPr>
                <w:b/>
              </w:rPr>
              <w:t>Yield</w:t>
            </w:r>
            <w:r w:rsidR="0085509D" w:rsidRPr="00AC7D8A">
              <w:rPr>
                <w:b/>
              </w:rPr>
              <w:t xml:space="preserve"> (%)</w:t>
            </w:r>
          </w:p>
        </w:tc>
        <w:tc>
          <w:tcPr>
            <w:tcW w:w="1889" w:type="dxa"/>
          </w:tcPr>
          <w:p w14:paraId="7A787AB3" w14:textId="0F112013" w:rsidR="00AB2D75" w:rsidRPr="00AC7D8A" w:rsidRDefault="000353EA" w:rsidP="001314BB">
            <w:r w:rsidRPr="00AC7D8A">
              <w:t>4.9</w:t>
            </w:r>
            <w:r w:rsidR="00AB2D75" w:rsidRPr="00AC7D8A">
              <w:t>%</w:t>
            </w:r>
          </w:p>
        </w:tc>
        <w:tc>
          <w:tcPr>
            <w:tcW w:w="2338" w:type="dxa"/>
          </w:tcPr>
          <w:p w14:paraId="7B0816C4" w14:textId="77777777" w:rsidR="00AB2D75" w:rsidRPr="00AC7D8A" w:rsidRDefault="00AB2D75" w:rsidP="001314BB">
            <w:pPr>
              <w:rPr>
                <w:b/>
              </w:rPr>
            </w:pPr>
            <w:r w:rsidRPr="00AC7D8A">
              <w:rPr>
                <w:b/>
              </w:rPr>
              <w:t>Debt/Equity</w:t>
            </w:r>
          </w:p>
        </w:tc>
        <w:tc>
          <w:tcPr>
            <w:tcW w:w="2338" w:type="dxa"/>
          </w:tcPr>
          <w:p w14:paraId="005E5338" w14:textId="73ABFF07" w:rsidR="00AB2D75" w:rsidRPr="00AC7D8A" w:rsidRDefault="000353EA" w:rsidP="001314BB">
            <w:r w:rsidRPr="00AC7D8A">
              <w:t>2.64</w:t>
            </w:r>
          </w:p>
        </w:tc>
      </w:tr>
    </w:tbl>
    <w:p w14:paraId="6E144A45" w14:textId="77777777" w:rsidR="00AB2D75" w:rsidRPr="00AC7D8A" w:rsidRDefault="00AB2D75" w:rsidP="00AB2D75"/>
    <w:p w14:paraId="7EEEEF48" w14:textId="2E7A8FC5" w:rsidR="00B7523E" w:rsidRPr="00AC7D8A" w:rsidRDefault="001E43D5">
      <w:pPr>
        <w:rPr>
          <w:b/>
        </w:rPr>
      </w:pPr>
      <w:r w:rsidRPr="00AC7D8A">
        <w:rPr>
          <w:b/>
        </w:rPr>
        <w:t>Recommendation</w:t>
      </w:r>
    </w:p>
    <w:p w14:paraId="2EEA47EB" w14:textId="244A4F77" w:rsidR="00B33E29" w:rsidRPr="00AC7D8A" w:rsidRDefault="00B33E29">
      <w:r w:rsidRPr="00AC7D8A">
        <w:t xml:space="preserve">We recommend a </w:t>
      </w:r>
      <w:r w:rsidR="00B20CE0" w:rsidRPr="00AC7D8A">
        <w:t>buy strategy for Verizon Communications Inc. based on our relative and projected valuation of the company. Based on our calculations, the target price is $52.56 which gives us an 8.01% upside on this investment. We used a P/E multiple valuation and a Monte Carlo simulation and weighted them both equally to come up with our final price. We also see that Verizon is implementing 5g technology to multiple markets this year and expect this to positively affect their stock price but did not reflec</w:t>
      </w:r>
      <w:r w:rsidR="00FC2907" w:rsidRPr="00AC7D8A">
        <w:t>t</w:t>
      </w:r>
      <w:r w:rsidR="00B20CE0" w:rsidRPr="00AC7D8A">
        <w:t xml:space="preserve"> it in our calculations.</w:t>
      </w:r>
    </w:p>
    <w:p w14:paraId="35708714" w14:textId="77777777" w:rsidR="006B6FB7" w:rsidRDefault="006B6FB7">
      <w:pPr>
        <w:rPr>
          <w:b/>
        </w:rPr>
      </w:pPr>
    </w:p>
    <w:p w14:paraId="25F51459" w14:textId="7247A02D" w:rsidR="001E43D5" w:rsidRPr="00AC7D8A" w:rsidRDefault="001E43D5">
      <w:pPr>
        <w:rPr>
          <w:b/>
        </w:rPr>
      </w:pPr>
      <w:r w:rsidRPr="00AC7D8A">
        <w:rPr>
          <w:b/>
        </w:rPr>
        <w:lastRenderedPageBreak/>
        <w:t>Investment Thesis</w:t>
      </w:r>
    </w:p>
    <w:p w14:paraId="2DED9332" w14:textId="338CBE93" w:rsidR="00327FEE" w:rsidRPr="00AC7D8A" w:rsidRDefault="00327FEE" w:rsidP="00327FEE">
      <w:pPr>
        <w:pStyle w:val="ListParagraph"/>
        <w:numPr>
          <w:ilvl w:val="0"/>
          <w:numId w:val="7"/>
        </w:numPr>
        <w:rPr>
          <w:b/>
        </w:rPr>
      </w:pPr>
      <w:r w:rsidRPr="00AC7D8A">
        <w:rPr>
          <w:b/>
        </w:rPr>
        <w:t xml:space="preserve">Demand for reliable wireless communication: </w:t>
      </w:r>
      <w:r w:rsidRPr="00AC7D8A">
        <w:t xml:space="preserve">With the demand for faster and better wireless for our smartphones and other devices, Verizon is positioned in a great spot to gain market share as this grows. Known as having the largest network coverage in the U.S, Verizon Communications has the most loyal group of subscribers as they know their connections will not drop even in rural areas. Being the most reliable network is what sets them apart from competitors like AT&amp;T and </w:t>
      </w:r>
      <w:r w:rsidR="006B2763" w:rsidRPr="00AC7D8A">
        <w:t>T-Mobile</w:t>
      </w:r>
      <w:r w:rsidRPr="00AC7D8A">
        <w:t xml:space="preserve">, which is also why they have one of the highest retention ratios of their customer base. Their net additions of subscribers </w:t>
      </w:r>
      <w:r w:rsidR="00B8514F" w:rsidRPr="00AC7D8A">
        <w:t>have</w:t>
      </w:r>
      <w:r w:rsidRPr="00AC7D8A">
        <w:t xml:space="preserve"> remained positive over the last three years which means they are adding customers to their base every single year.</w:t>
      </w:r>
    </w:p>
    <w:p w14:paraId="58E9077C" w14:textId="34D21F4B" w:rsidR="00327FEE" w:rsidRPr="00AC7D8A" w:rsidRDefault="00327FEE" w:rsidP="00327FEE">
      <w:pPr>
        <w:pStyle w:val="ListParagraph"/>
        <w:numPr>
          <w:ilvl w:val="0"/>
          <w:numId w:val="7"/>
        </w:numPr>
        <w:rPr>
          <w:b/>
        </w:rPr>
      </w:pPr>
      <w:r w:rsidRPr="00AC7D8A">
        <w:rPr>
          <w:b/>
        </w:rPr>
        <w:t xml:space="preserve">Economic indicators favor Telecommunications sector: </w:t>
      </w:r>
      <w:r w:rsidRPr="00AC7D8A">
        <w:t xml:space="preserve"> The telecommunications sector is known for performing above the market in the late stages and recessionary times of the business cycle. As we approach these stages, we know that people will</w:t>
      </w:r>
      <w:r w:rsidR="007818DD" w:rsidRPr="00AC7D8A">
        <w:t xml:space="preserve"> continue to rely on their cellphones and other devices in their day to day lives and companies like Verizon do not see a huge drop in their subscriptions as most people will not cancel data plans during these times. Investing into this sector before we start seeing underperformance of other sectors is important if we want to capitalize as much of a gain as possible.</w:t>
      </w:r>
    </w:p>
    <w:p w14:paraId="7C0749BF" w14:textId="67A270A8" w:rsidR="007818DD" w:rsidRPr="00AC7D8A" w:rsidRDefault="007818DD" w:rsidP="00327FEE">
      <w:pPr>
        <w:pStyle w:val="ListParagraph"/>
        <w:numPr>
          <w:ilvl w:val="0"/>
          <w:numId w:val="7"/>
        </w:numPr>
        <w:rPr>
          <w:b/>
        </w:rPr>
      </w:pPr>
      <w:r w:rsidRPr="00AC7D8A">
        <w:rPr>
          <w:b/>
        </w:rPr>
        <w:t xml:space="preserve">New technology (5G): </w:t>
      </w:r>
      <w:r w:rsidRPr="00AC7D8A">
        <w:t>Like previously stated, Verizon Communications Inc. leads the way in the 5</w:t>
      </w:r>
      <w:r w:rsidRPr="00AC7D8A">
        <w:rPr>
          <w:vertAlign w:val="superscript"/>
        </w:rPr>
        <w:t>th</w:t>
      </w:r>
      <w:r w:rsidRPr="00AC7D8A">
        <w:t xml:space="preserve"> generation wireless technology race. In 2017 they were able to test the technology in one public market where they saw average download speeds of 3.77 Gbps. In the U.S today, the average wireless download speed is around 17 Mbps, which makes 5g internet 217 times faster than the average wireless connection. This is huge for Verizon as they are the frontrunner in this amazing technology and they plan to start rolling it out to consumers in the second half of this year. Right </w:t>
      </w:r>
      <w:r w:rsidR="00AC7D8A" w:rsidRPr="00AC7D8A">
        <w:t>now,</w:t>
      </w:r>
      <w:r w:rsidRPr="00AC7D8A">
        <w:t xml:space="preserve"> is the perfect time to buy as we do not believe this is factored into their stock price.</w:t>
      </w:r>
    </w:p>
    <w:p w14:paraId="5B828F16" w14:textId="7095F060" w:rsidR="006834D1" w:rsidRPr="00AC7D8A" w:rsidRDefault="00CA1C0B" w:rsidP="00CB5549">
      <w:pPr>
        <w:rPr>
          <w:b/>
        </w:rPr>
      </w:pPr>
      <w:r w:rsidRPr="00AC7D8A">
        <w:rPr>
          <w:b/>
        </w:rPr>
        <w:t>Valuation</w:t>
      </w:r>
    </w:p>
    <w:p w14:paraId="794E2FEA" w14:textId="6C7F2649" w:rsidR="007818DD" w:rsidRPr="00AC7D8A" w:rsidRDefault="0074545E" w:rsidP="00CB5549">
      <w:r w:rsidRPr="00AC7D8A">
        <w:t xml:space="preserve">For the valuation, we decided to use a relative P/E </w:t>
      </w:r>
      <w:r w:rsidR="00883A16">
        <w:t>multiple</w:t>
      </w:r>
      <w:r w:rsidRPr="00AC7D8A">
        <w:t xml:space="preserve"> valuation with </w:t>
      </w:r>
      <w:r w:rsidR="000F3A38">
        <w:t>Verizon’s</w:t>
      </w:r>
      <w:r w:rsidRPr="00AC7D8A">
        <w:t xml:space="preserve"> closest peers. We found the peer group P/E average to be 7.325x which is slightly above the 6.29 of Verizon Communications. Using this average P/E ratio, we multiplied it by Verizon’s current EPS of $7.36 to arrive at a target price of $53.91. We also decided to use a Monte Carlo simulation to predict the target price. Using 500,000 trials, an expected annual return of 3%, and annual volatility of 19.18% we concluded the </w:t>
      </w:r>
      <w:r w:rsidR="00B33E29" w:rsidRPr="00AC7D8A">
        <w:t>one-year</w:t>
      </w:r>
      <w:r w:rsidRPr="00AC7D8A">
        <w:t xml:space="preserve"> target price to b</w:t>
      </w:r>
      <w:r w:rsidR="00B33E29" w:rsidRPr="00AC7D8A">
        <w:t>e between $52.45 and $58.84 using a .25% sensitivity analysis in the growth rate. The mean one-year target price is therefore $55.64. Discounting it by 8.5% gives us a target price of $51.28. Since these prices are close together, we decided to weigh them 50/50 to come up with a final target price of $52.56 giving us a</w:t>
      </w:r>
      <w:r w:rsidR="00B20CE0" w:rsidRPr="00AC7D8A">
        <w:t>n</w:t>
      </w:r>
      <w:r w:rsidR="00B33E29" w:rsidRPr="00AC7D8A">
        <w:t xml:space="preserve"> 8.01% upside on this investment.</w:t>
      </w:r>
    </w:p>
    <w:p w14:paraId="47CAF45E" w14:textId="4079E16D" w:rsidR="00CA1C0B" w:rsidRPr="00AC7D8A" w:rsidRDefault="00CA1C0B">
      <w:pPr>
        <w:rPr>
          <w:b/>
        </w:rPr>
      </w:pPr>
      <w:r w:rsidRPr="00AC7D8A">
        <w:rPr>
          <w:b/>
        </w:rPr>
        <w:t>Risks</w:t>
      </w:r>
    </w:p>
    <w:p w14:paraId="5082D2DC" w14:textId="09954DF0" w:rsidR="005517EB" w:rsidRPr="00AC7D8A" w:rsidRDefault="005517EB" w:rsidP="005517EB">
      <w:pPr>
        <w:pStyle w:val="ListParagraph"/>
        <w:numPr>
          <w:ilvl w:val="0"/>
          <w:numId w:val="5"/>
        </w:numPr>
        <w:spacing w:after="0" w:line="240" w:lineRule="auto"/>
        <w:rPr>
          <w:b/>
        </w:rPr>
      </w:pPr>
      <w:r w:rsidRPr="00AC7D8A">
        <w:rPr>
          <w:b/>
        </w:rPr>
        <w:t xml:space="preserve">Significant Debt:  </w:t>
      </w:r>
      <w:r w:rsidRPr="00AC7D8A">
        <w:t xml:space="preserve">Currently, Verizon has over </w:t>
      </w:r>
      <w:r w:rsidR="006B6FB7">
        <w:t>$</w:t>
      </w:r>
      <w:bookmarkStart w:id="0" w:name="_GoBack"/>
      <w:bookmarkEnd w:id="0"/>
      <w:r w:rsidRPr="00AC7D8A">
        <w:t xml:space="preserve">110 Billion dollars in outstanding debt and although they are a large corporation and can handle that debt, it will always be a risk for the company.  This debt as of now is under control and Verizon can withstand it during the current economic conditions.  But, if the economy were to take a hit and policies were to change, Verizon could easily see themselves in a problem financially with not being able to make payments on the debt and its interest.  This risk essentially goes for any major corporation, but it </w:t>
      </w:r>
      <w:r w:rsidRPr="00AC7D8A">
        <w:lastRenderedPageBreak/>
        <w:t xml:space="preserve">has to be considered and brought up whenever there are major changes that could </w:t>
      </w:r>
      <w:r w:rsidR="00030891" w:rsidRPr="00AC7D8A">
        <w:t>affect</w:t>
      </w:r>
      <w:r w:rsidRPr="00AC7D8A">
        <w:t xml:space="preserve"> the industry.</w:t>
      </w:r>
      <w:r w:rsidRPr="00AC7D8A">
        <w:rPr>
          <w:b/>
        </w:rPr>
        <w:t xml:space="preserve"> </w:t>
      </w:r>
    </w:p>
    <w:p w14:paraId="45E01637" w14:textId="6AC85BBB" w:rsidR="005517EB" w:rsidRPr="00AC7D8A" w:rsidRDefault="005517EB" w:rsidP="005517EB">
      <w:pPr>
        <w:pStyle w:val="ListParagraph"/>
        <w:numPr>
          <w:ilvl w:val="0"/>
          <w:numId w:val="5"/>
        </w:numPr>
        <w:spacing w:after="0" w:line="240" w:lineRule="auto"/>
        <w:rPr>
          <w:b/>
        </w:rPr>
      </w:pPr>
      <w:r w:rsidRPr="00AC7D8A">
        <w:rPr>
          <w:b/>
        </w:rPr>
        <w:t xml:space="preserve">Cyber Attacks:  </w:t>
      </w:r>
      <w:r w:rsidRPr="00AC7D8A">
        <w:t>Although Verizon Communications has not yet been successfully hacked, they do have to go through the process of paying for the protection and there is no reason they can’t get hacked in the future.  Verizon pays millions of dollars per year for protection on their operation and have successfully fought off attackers, but this is always a risk when it comes to a company who operates in a technological field.</w:t>
      </w:r>
    </w:p>
    <w:p w14:paraId="40C12315" w14:textId="0E8A4D69" w:rsidR="005517EB" w:rsidRPr="00AC7D8A" w:rsidRDefault="005517EB" w:rsidP="005517EB">
      <w:pPr>
        <w:pStyle w:val="ListParagraph"/>
        <w:numPr>
          <w:ilvl w:val="0"/>
          <w:numId w:val="5"/>
        </w:numPr>
        <w:spacing w:after="0" w:line="240" w:lineRule="auto"/>
        <w:rPr>
          <w:b/>
        </w:rPr>
      </w:pPr>
      <w:r w:rsidRPr="00AC7D8A">
        <w:rPr>
          <w:b/>
        </w:rPr>
        <w:t xml:space="preserve">Significant Competition:  </w:t>
      </w:r>
      <w:r w:rsidRPr="00AC7D8A">
        <w:t>The telecommunications industry is a very competitive industry in the fact that it is very technology and innovational driven.  With Verizon being one of the two major providers in North America, people are specifically targeting new ideas and ways of offering their business to “one step” over what Verizon already offers.  Essentially if you’re not always developing new ideas and coming out with the latest and greatest products, it</w:t>
      </w:r>
      <w:r w:rsidR="00030891">
        <w:t xml:space="preserve"> is</w:t>
      </w:r>
      <w:r w:rsidRPr="00AC7D8A">
        <w:t xml:space="preserve"> tough to compete in this industry.  </w:t>
      </w:r>
    </w:p>
    <w:p w14:paraId="7AA41468" w14:textId="77777777" w:rsidR="00CB5549" w:rsidRPr="00AC7D8A" w:rsidRDefault="00CB5549" w:rsidP="00CB5549">
      <w:pPr>
        <w:pStyle w:val="ListParagraph"/>
        <w:spacing w:after="0" w:line="240" w:lineRule="auto"/>
        <w:rPr>
          <w:b/>
        </w:rPr>
      </w:pPr>
    </w:p>
    <w:p w14:paraId="2BD1C466" w14:textId="16338575" w:rsidR="00CA1C0B" w:rsidRPr="00AC7D8A" w:rsidRDefault="00CA1C0B">
      <w:pPr>
        <w:rPr>
          <w:b/>
        </w:rPr>
      </w:pPr>
      <w:r w:rsidRPr="00AC7D8A">
        <w:rPr>
          <w:b/>
        </w:rPr>
        <w:t>Management</w:t>
      </w:r>
    </w:p>
    <w:p w14:paraId="6E1F8FB5" w14:textId="48EDB169" w:rsidR="005517EB" w:rsidRPr="00AC7D8A" w:rsidRDefault="005517EB" w:rsidP="005517EB">
      <w:r w:rsidRPr="00AC7D8A">
        <w:t xml:space="preserve">Mr. Lowell C. McAdam has been the Chairman and CEO of Verizon Communications since 2007.  Prior to his current title, he served as the President and COO of Verizon Wireless, which is the previous name of the company up until 2007.  Mr. McAdam is considered one of the architects of </w:t>
      </w:r>
      <w:r w:rsidR="00B93FE3" w:rsidRPr="00AC7D8A">
        <w:t>today’s</w:t>
      </w:r>
      <w:r w:rsidRPr="00AC7D8A">
        <w:t xml:space="preserve"> global wireless industry with building wireless companies on three continents. </w:t>
      </w:r>
    </w:p>
    <w:p w14:paraId="60BC1E21" w14:textId="4DC7AD4B" w:rsidR="005517EB" w:rsidRPr="00AC7D8A" w:rsidRDefault="005517EB" w:rsidP="005517EB">
      <w:r w:rsidRPr="00AC7D8A">
        <w:t xml:space="preserve">Mr. Mathew D. Ellis has been with Verizon Communications for the past five </w:t>
      </w:r>
      <w:r w:rsidR="00B93FE3" w:rsidRPr="00AC7D8A">
        <w:t>years and</w:t>
      </w:r>
      <w:r w:rsidRPr="00AC7D8A">
        <w:t xml:space="preserve"> has been serving as the Executive VP and CFO since 2016.  Prior to his time spent with Verizon Communications, Mr. Ellis spent time with Tyson Foods Inc. as their VP and treasurer for over a 15-year time span.</w:t>
      </w:r>
    </w:p>
    <w:p w14:paraId="2CEC5809" w14:textId="7832A34B" w:rsidR="00CA1C0B" w:rsidRPr="00AC7D8A" w:rsidRDefault="00CA1C0B" w:rsidP="00AC7D8A">
      <w:pPr>
        <w:jc w:val="center"/>
        <w:rPr>
          <w:b/>
        </w:rPr>
      </w:pPr>
      <w:r w:rsidRPr="00AC7D8A">
        <w:rPr>
          <w:b/>
        </w:rPr>
        <w:t>Stock Chart of Past Year Performance</w:t>
      </w:r>
    </w:p>
    <w:p w14:paraId="49AF5E45" w14:textId="52E02B24" w:rsidR="00AB2D75" w:rsidRPr="00AC7D8A" w:rsidRDefault="005517EB">
      <w:pPr>
        <w:rPr>
          <w:b/>
        </w:rPr>
      </w:pPr>
      <w:r w:rsidRPr="00AC7D8A">
        <w:rPr>
          <w:noProof/>
        </w:rPr>
        <w:drawing>
          <wp:inline distT="0" distB="0" distL="0" distR="0" wp14:anchorId="7CE3F4EB" wp14:editId="60AEB8B9">
            <wp:extent cx="5943600" cy="2442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42210"/>
                    </a:xfrm>
                    <a:prstGeom prst="rect">
                      <a:avLst/>
                    </a:prstGeom>
                  </pic:spPr>
                </pic:pic>
              </a:graphicData>
            </a:graphic>
          </wp:inline>
        </w:drawing>
      </w:r>
    </w:p>
    <w:p w14:paraId="6E474E31" w14:textId="77777777" w:rsidR="00AC7D8A" w:rsidRDefault="00AC7D8A">
      <w:pPr>
        <w:rPr>
          <w:b/>
        </w:rPr>
      </w:pPr>
    </w:p>
    <w:p w14:paraId="61F3BB0A" w14:textId="77777777" w:rsidR="00AC7D8A" w:rsidRDefault="00AC7D8A">
      <w:pPr>
        <w:rPr>
          <w:b/>
        </w:rPr>
      </w:pPr>
    </w:p>
    <w:p w14:paraId="74367F3B" w14:textId="77777777" w:rsidR="00AC7D8A" w:rsidRDefault="00AC7D8A">
      <w:pPr>
        <w:rPr>
          <w:b/>
        </w:rPr>
      </w:pPr>
    </w:p>
    <w:p w14:paraId="6A857CA7" w14:textId="77777777" w:rsidR="00AC7D8A" w:rsidRDefault="00AC7D8A">
      <w:pPr>
        <w:rPr>
          <w:b/>
        </w:rPr>
      </w:pPr>
    </w:p>
    <w:p w14:paraId="2299A7BE" w14:textId="69BBF3D1" w:rsidR="00AB2D75" w:rsidRPr="00AC7D8A" w:rsidRDefault="00CA1C0B">
      <w:pPr>
        <w:rPr>
          <w:b/>
        </w:rPr>
      </w:pPr>
      <w:r w:rsidRPr="00AC7D8A">
        <w:rPr>
          <w:b/>
        </w:rPr>
        <w:lastRenderedPageBreak/>
        <w:t>Pe</w:t>
      </w:r>
      <w:r w:rsidR="00AB2D75" w:rsidRPr="00AC7D8A">
        <w:rPr>
          <w:b/>
        </w:rPr>
        <w:t>er Analysis</w:t>
      </w:r>
    </w:p>
    <w:tbl>
      <w:tblPr>
        <w:tblStyle w:val="TableGrid"/>
        <w:tblW w:w="0" w:type="auto"/>
        <w:tblLayout w:type="fixed"/>
        <w:tblLook w:val="04A0" w:firstRow="1" w:lastRow="0" w:firstColumn="1" w:lastColumn="0" w:noHBand="0" w:noVBand="1"/>
      </w:tblPr>
      <w:tblGrid>
        <w:gridCol w:w="2785"/>
        <w:gridCol w:w="900"/>
        <w:gridCol w:w="1260"/>
        <w:gridCol w:w="1260"/>
        <w:gridCol w:w="1080"/>
        <w:gridCol w:w="1080"/>
        <w:gridCol w:w="985"/>
      </w:tblGrid>
      <w:tr w:rsidR="005517EB" w:rsidRPr="00AC7D8A" w14:paraId="6F4357CB" w14:textId="77777777" w:rsidTr="005E7B26">
        <w:tc>
          <w:tcPr>
            <w:tcW w:w="2785" w:type="dxa"/>
            <w:tcBorders>
              <w:bottom w:val="single" w:sz="4" w:space="0" w:color="auto"/>
            </w:tcBorders>
          </w:tcPr>
          <w:p w14:paraId="24A64A51" w14:textId="77777777" w:rsidR="005517EB" w:rsidRPr="00AC7D8A" w:rsidRDefault="005517EB" w:rsidP="005E7B26">
            <w:pPr>
              <w:jc w:val="center"/>
              <w:rPr>
                <w:b/>
              </w:rPr>
            </w:pPr>
            <w:r w:rsidRPr="00AC7D8A">
              <w:rPr>
                <w:b/>
              </w:rPr>
              <w:t>Name</w:t>
            </w:r>
          </w:p>
        </w:tc>
        <w:tc>
          <w:tcPr>
            <w:tcW w:w="900" w:type="dxa"/>
            <w:tcBorders>
              <w:bottom w:val="single" w:sz="4" w:space="0" w:color="auto"/>
            </w:tcBorders>
          </w:tcPr>
          <w:p w14:paraId="1A7DC125" w14:textId="77777777" w:rsidR="005517EB" w:rsidRPr="00AC7D8A" w:rsidRDefault="005517EB" w:rsidP="005E7B26">
            <w:pPr>
              <w:jc w:val="center"/>
              <w:rPr>
                <w:b/>
              </w:rPr>
            </w:pPr>
            <w:r w:rsidRPr="00AC7D8A">
              <w:rPr>
                <w:b/>
              </w:rPr>
              <w:t>Ticker</w:t>
            </w:r>
          </w:p>
        </w:tc>
        <w:tc>
          <w:tcPr>
            <w:tcW w:w="1260" w:type="dxa"/>
            <w:tcBorders>
              <w:bottom w:val="single" w:sz="4" w:space="0" w:color="auto"/>
            </w:tcBorders>
          </w:tcPr>
          <w:p w14:paraId="6567795D" w14:textId="4E71D25F" w:rsidR="005517EB" w:rsidRPr="00AC7D8A" w:rsidRDefault="005517EB" w:rsidP="005E7B26">
            <w:pPr>
              <w:jc w:val="center"/>
              <w:rPr>
                <w:b/>
              </w:rPr>
            </w:pPr>
            <w:r w:rsidRPr="00AC7D8A">
              <w:rPr>
                <w:b/>
              </w:rPr>
              <w:t>Market Cap (</w:t>
            </w:r>
            <w:r w:rsidR="005123A1" w:rsidRPr="00AC7D8A">
              <w:rPr>
                <w:b/>
              </w:rPr>
              <w:t>B</w:t>
            </w:r>
            <w:r w:rsidRPr="00AC7D8A">
              <w:rPr>
                <w:b/>
              </w:rPr>
              <w:t>il)</w:t>
            </w:r>
          </w:p>
        </w:tc>
        <w:tc>
          <w:tcPr>
            <w:tcW w:w="1260" w:type="dxa"/>
            <w:tcBorders>
              <w:bottom w:val="single" w:sz="4" w:space="0" w:color="auto"/>
            </w:tcBorders>
          </w:tcPr>
          <w:p w14:paraId="4DA7C538" w14:textId="77777777" w:rsidR="005517EB" w:rsidRPr="00AC7D8A" w:rsidRDefault="005517EB" w:rsidP="005E7B26">
            <w:pPr>
              <w:jc w:val="center"/>
              <w:rPr>
                <w:b/>
              </w:rPr>
            </w:pPr>
            <w:r w:rsidRPr="00AC7D8A">
              <w:rPr>
                <w:b/>
              </w:rPr>
              <w:t>Revenue (mil)</w:t>
            </w:r>
          </w:p>
        </w:tc>
        <w:tc>
          <w:tcPr>
            <w:tcW w:w="1080" w:type="dxa"/>
            <w:tcBorders>
              <w:bottom w:val="single" w:sz="4" w:space="0" w:color="auto"/>
            </w:tcBorders>
          </w:tcPr>
          <w:p w14:paraId="3845C66B" w14:textId="77777777" w:rsidR="005517EB" w:rsidRPr="00AC7D8A" w:rsidRDefault="005517EB" w:rsidP="005E7B26">
            <w:pPr>
              <w:jc w:val="center"/>
              <w:rPr>
                <w:b/>
              </w:rPr>
            </w:pPr>
            <w:r w:rsidRPr="00AC7D8A">
              <w:rPr>
                <w:b/>
              </w:rPr>
              <w:t>EBITDA</w:t>
            </w:r>
          </w:p>
        </w:tc>
        <w:tc>
          <w:tcPr>
            <w:tcW w:w="1080" w:type="dxa"/>
            <w:tcBorders>
              <w:bottom w:val="single" w:sz="4" w:space="0" w:color="auto"/>
            </w:tcBorders>
          </w:tcPr>
          <w:p w14:paraId="67D9BEE0" w14:textId="77777777" w:rsidR="005517EB" w:rsidRPr="00AC7D8A" w:rsidRDefault="005517EB" w:rsidP="005E7B26">
            <w:pPr>
              <w:jc w:val="center"/>
              <w:rPr>
                <w:b/>
              </w:rPr>
            </w:pPr>
            <w:r w:rsidRPr="00AC7D8A">
              <w:rPr>
                <w:b/>
              </w:rPr>
              <w:t>EV/EBITDA</w:t>
            </w:r>
          </w:p>
        </w:tc>
        <w:tc>
          <w:tcPr>
            <w:tcW w:w="985" w:type="dxa"/>
            <w:tcBorders>
              <w:bottom w:val="single" w:sz="4" w:space="0" w:color="auto"/>
            </w:tcBorders>
          </w:tcPr>
          <w:p w14:paraId="277C8692" w14:textId="77777777" w:rsidR="005517EB" w:rsidRPr="00AC7D8A" w:rsidRDefault="005517EB" w:rsidP="005E7B26">
            <w:pPr>
              <w:jc w:val="center"/>
              <w:rPr>
                <w:b/>
              </w:rPr>
            </w:pPr>
            <w:r w:rsidRPr="00AC7D8A">
              <w:rPr>
                <w:b/>
              </w:rPr>
              <w:t>Dividend Yield (%)</w:t>
            </w:r>
          </w:p>
        </w:tc>
      </w:tr>
      <w:tr w:rsidR="005517EB" w:rsidRPr="00AC7D8A" w14:paraId="40936855" w14:textId="77777777" w:rsidTr="005E7B26">
        <w:tc>
          <w:tcPr>
            <w:tcW w:w="2785" w:type="dxa"/>
            <w:tcBorders>
              <w:bottom w:val="nil"/>
              <w:right w:val="nil"/>
            </w:tcBorders>
          </w:tcPr>
          <w:p w14:paraId="058BEEE6" w14:textId="77777777" w:rsidR="005517EB" w:rsidRPr="00AC7D8A" w:rsidRDefault="005517EB" w:rsidP="005E7B26">
            <w:pPr>
              <w:rPr>
                <w:b/>
              </w:rPr>
            </w:pPr>
            <w:r w:rsidRPr="00AC7D8A">
              <w:rPr>
                <w:b/>
              </w:rPr>
              <w:t>Verizon Communications</w:t>
            </w:r>
          </w:p>
        </w:tc>
        <w:tc>
          <w:tcPr>
            <w:tcW w:w="900" w:type="dxa"/>
            <w:tcBorders>
              <w:left w:val="nil"/>
              <w:bottom w:val="nil"/>
              <w:right w:val="nil"/>
            </w:tcBorders>
          </w:tcPr>
          <w:p w14:paraId="6458B39C" w14:textId="77777777" w:rsidR="005517EB" w:rsidRPr="00AC7D8A" w:rsidRDefault="005517EB" w:rsidP="005E7B26">
            <w:pPr>
              <w:jc w:val="center"/>
              <w:rPr>
                <w:b/>
              </w:rPr>
            </w:pPr>
            <w:r w:rsidRPr="00AC7D8A">
              <w:rPr>
                <w:b/>
              </w:rPr>
              <w:t>VZ</w:t>
            </w:r>
          </w:p>
        </w:tc>
        <w:tc>
          <w:tcPr>
            <w:tcW w:w="1260" w:type="dxa"/>
            <w:tcBorders>
              <w:left w:val="nil"/>
              <w:bottom w:val="nil"/>
              <w:right w:val="nil"/>
            </w:tcBorders>
          </w:tcPr>
          <w:p w14:paraId="39EF6182" w14:textId="6D52C6E6" w:rsidR="005517EB" w:rsidRPr="00AC7D8A" w:rsidRDefault="005517EB" w:rsidP="005E7B26">
            <w:pPr>
              <w:jc w:val="center"/>
              <w:rPr>
                <w:b/>
              </w:rPr>
            </w:pPr>
            <w:r w:rsidRPr="00AC7D8A">
              <w:rPr>
                <w:b/>
              </w:rPr>
              <w:t>$</w:t>
            </w:r>
            <w:r w:rsidR="005123A1" w:rsidRPr="00AC7D8A">
              <w:rPr>
                <w:b/>
              </w:rPr>
              <w:t>200.97</w:t>
            </w:r>
          </w:p>
        </w:tc>
        <w:tc>
          <w:tcPr>
            <w:tcW w:w="1260" w:type="dxa"/>
            <w:tcBorders>
              <w:left w:val="nil"/>
              <w:bottom w:val="nil"/>
              <w:right w:val="nil"/>
            </w:tcBorders>
          </w:tcPr>
          <w:p w14:paraId="2F7C790A" w14:textId="77777777" w:rsidR="005517EB" w:rsidRPr="00AC7D8A" w:rsidRDefault="005517EB" w:rsidP="005E7B26">
            <w:pPr>
              <w:jc w:val="center"/>
              <w:rPr>
                <w:b/>
              </w:rPr>
            </w:pPr>
            <w:r w:rsidRPr="00AC7D8A">
              <w:rPr>
                <w:b/>
              </w:rPr>
              <w:t>$126,034</w:t>
            </w:r>
          </w:p>
        </w:tc>
        <w:tc>
          <w:tcPr>
            <w:tcW w:w="1080" w:type="dxa"/>
            <w:tcBorders>
              <w:left w:val="nil"/>
              <w:bottom w:val="nil"/>
              <w:right w:val="nil"/>
            </w:tcBorders>
          </w:tcPr>
          <w:p w14:paraId="553C530B" w14:textId="77777777" w:rsidR="005517EB" w:rsidRPr="00AC7D8A" w:rsidRDefault="005517EB" w:rsidP="005E7B26">
            <w:pPr>
              <w:jc w:val="center"/>
              <w:rPr>
                <w:b/>
              </w:rPr>
            </w:pPr>
            <w:r w:rsidRPr="00AC7D8A">
              <w:rPr>
                <w:b/>
              </w:rPr>
              <w:t>42,281</w:t>
            </w:r>
          </w:p>
        </w:tc>
        <w:tc>
          <w:tcPr>
            <w:tcW w:w="1080" w:type="dxa"/>
            <w:tcBorders>
              <w:left w:val="nil"/>
              <w:bottom w:val="nil"/>
              <w:right w:val="nil"/>
            </w:tcBorders>
          </w:tcPr>
          <w:p w14:paraId="064AA1BE" w14:textId="77777777" w:rsidR="005517EB" w:rsidRPr="00AC7D8A" w:rsidRDefault="005517EB" w:rsidP="005E7B26">
            <w:pPr>
              <w:jc w:val="center"/>
              <w:rPr>
                <w:b/>
              </w:rPr>
            </w:pPr>
            <w:r w:rsidRPr="00AC7D8A">
              <w:rPr>
                <w:b/>
              </w:rPr>
              <w:t>6.53</w:t>
            </w:r>
          </w:p>
        </w:tc>
        <w:tc>
          <w:tcPr>
            <w:tcW w:w="985" w:type="dxa"/>
            <w:tcBorders>
              <w:left w:val="nil"/>
              <w:bottom w:val="nil"/>
            </w:tcBorders>
          </w:tcPr>
          <w:p w14:paraId="782BBA35" w14:textId="32773E39" w:rsidR="005517EB" w:rsidRPr="00AC7D8A" w:rsidRDefault="005517EB" w:rsidP="005E7B26">
            <w:pPr>
              <w:jc w:val="center"/>
              <w:rPr>
                <w:b/>
              </w:rPr>
            </w:pPr>
            <w:r w:rsidRPr="00AC7D8A">
              <w:rPr>
                <w:b/>
              </w:rPr>
              <w:t>4.</w:t>
            </w:r>
            <w:r w:rsidR="005123A1" w:rsidRPr="00AC7D8A">
              <w:rPr>
                <w:b/>
              </w:rPr>
              <w:t>9</w:t>
            </w:r>
          </w:p>
        </w:tc>
      </w:tr>
      <w:tr w:rsidR="005517EB" w:rsidRPr="00AC7D8A" w14:paraId="2CF9ED6A" w14:textId="77777777" w:rsidTr="005E7B26">
        <w:tc>
          <w:tcPr>
            <w:tcW w:w="2785" w:type="dxa"/>
            <w:tcBorders>
              <w:top w:val="nil"/>
              <w:bottom w:val="nil"/>
              <w:right w:val="nil"/>
            </w:tcBorders>
          </w:tcPr>
          <w:p w14:paraId="72166010" w14:textId="77777777" w:rsidR="005517EB" w:rsidRPr="00AC7D8A" w:rsidRDefault="005517EB" w:rsidP="005E7B26">
            <w:r w:rsidRPr="00AC7D8A">
              <w:t>AT&amp;T Inc.</w:t>
            </w:r>
          </w:p>
        </w:tc>
        <w:tc>
          <w:tcPr>
            <w:tcW w:w="900" w:type="dxa"/>
            <w:tcBorders>
              <w:top w:val="nil"/>
              <w:left w:val="nil"/>
              <w:bottom w:val="nil"/>
              <w:right w:val="nil"/>
            </w:tcBorders>
          </w:tcPr>
          <w:p w14:paraId="5F704830" w14:textId="77777777" w:rsidR="005517EB" w:rsidRPr="00AC7D8A" w:rsidRDefault="005517EB" w:rsidP="005E7B26">
            <w:pPr>
              <w:jc w:val="center"/>
            </w:pPr>
            <w:r w:rsidRPr="00AC7D8A">
              <w:t>T</w:t>
            </w:r>
          </w:p>
        </w:tc>
        <w:tc>
          <w:tcPr>
            <w:tcW w:w="1260" w:type="dxa"/>
            <w:tcBorders>
              <w:top w:val="nil"/>
              <w:left w:val="nil"/>
              <w:bottom w:val="nil"/>
              <w:right w:val="nil"/>
            </w:tcBorders>
          </w:tcPr>
          <w:p w14:paraId="718E355F" w14:textId="77777777" w:rsidR="005517EB" w:rsidRPr="00AC7D8A" w:rsidRDefault="005517EB" w:rsidP="005E7B26">
            <w:pPr>
              <w:jc w:val="center"/>
            </w:pPr>
            <w:r w:rsidRPr="00AC7D8A">
              <w:t>$231,490</w:t>
            </w:r>
          </w:p>
        </w:tc>
        <w:tc>
          <w:tcPr>
            <w:tcW w:w="1260" w:type="dxa"/>
            <w:tcBorders>
              <w:top w:val="nil"/>
              <w:left w:val="nil"/>
              <w:bottom w:val="nil"/>
              <w:right w:val="nil"/>
            </w:tcBorders>
          </w:tcPr>
          <w:p w14:paraId="77A278D7" w14:textId="77777777" w:rsidR="005517EB" w:rsidRPr="00AC7D8A" w:rsidRDefault="005517EB" w:rsidP="005E7B26">
            <w:pPr>
              <w:jc w:val="center"/>
            </w:pPr>
            <w:r w:rsidRPr="00AC7D8A">
              <w:t>$160,546</w:t>
            </w:r>
          </w:p>
        </w:tc>
        <w:tc>
          <w:tcPr>
            <w:tcW w:w="1080" w:type="dxa"/>
            <w:tcBorders>
              <w:top w:val="nil"/>
              <w:left w:val="nil"/>
              <w:bottom w:val="nil"/>
              <w:right w:val="nil"/>
            </w:tcBorders>
          </w:tcPr>
          <w:p w14:paraId="2F02CFB6" w14:textId="77777777" w:rsidR="005517EB" w:rsidRPr="00AC7D8A" w:rsidRDefault="005517EB" w:rsidP="005E7B26">
            <w:pPr>
              <w:jc w:val="center"/>
            </w:pPr>
            <w:r w:rsidRPr="00AC7D8A">
              <w:t>45,826</w:t>
            </w:r>
          </w:p>
        </w:tc>
        <w:tc>
          <w:tcPr>
            <w:tcW w:w="1080" w:type="dxa"/>
            <w:tcBorders>
              <w:top w:val="nil"/>
              <w:left w:val="nil"/>
              <w:bottom w:val="nil"/>
              <w:right w:val="nil"/>
            </w:tcBorders>
          </w:tcPr>
          <w:p w14:paraId="19E7397C" w14:textId="77777777" w:rsidR="005517EB" w:rsidRPr="00AC7D8A" w:rsidRDefault="005517EB" w:rsidP="005E7B26">
            <w:pPr>
              <w:jc w:val="center"/>
            </w:pPr>
            <w:r w:rsidRPr="00AC7D8A">
              <w:t>6.21</w:t>
            </w:r>
          </w:p>
        </w:tc>
        <w:tc>
          <w:tcPr>
            <w:tcW w:w="985" w:type="dxa"/>
            <w:tcBorders>
              <w:top w:val="nil"/>
              <w:left w:val="nil"/>
              <w:bottom w:val="nil"/>
            </w:tcBorders>
          </w:tcPr>
          <w:p w14:paraId="5694FEA5" w14:textId="77777777" w:rsidR="005517EB" w:rsidRPr="00AC7D8A" w:rsidRDefault="005517EB" w:rsidP="005E7B26">
            <w:pPr>
              <w:jc w:val="center"/>
            </w:pPr>
            <w:r w:rsidRPr="00AC7D8A">
              <w:t>5.6</w:t>
            </w:r>
          </w:p>
        </w:tc>
      </w:tr>
      <w:tr w:rsidR="005517EB" w:rsidRPr="00AC7D8A" w14:paraId="6488AA3C" w14:textId="77777777" w:rsidTr="005E7B26">
        <w:tc>
          <w:tcPr>
            <w:tcW w:w="2785" w:type="dxa"/>
            <w:tcBorders>
              <w:top w:val="nil"/>
              <w:bottom w:val="nil"/>
              <w:right w:val="nil"/>
            </w:tcBorders>
          </w:tcPr>
          <w:p w14:paraId="0B15BD73" w14:textId="77777777" w:rsidR="005517EB" w:rsidRPr="00AC7D8A" w:rsidRDefault="005517EB" w:rsidP="005E7B26">
            <w:r w:rsidRPr="00AC7D8A">
              <w:t>China Mobile ltd</w:t>
            </w:r>
          </w:p>
        </w:tc>
        <w:tc>
          <w:tcPr>
            <w:tcW w:w="900" w:type="dxa"/>
            <w:tcBorders>
              <w:top w:val="nil"/>
              <w:left w:val="nil"/>
              <w:bottom w:val="nil"/>
              <w:right w:val="nil"/>
            </w:tcBorders>
          </w:tcPr>
          <w:p w14:paraId="5C119242" w14:textId="77777777" w:rsidR="005517EB" w:rsidRPr="00AC7D8A" w:rsidRDefault="005517EB" w:rsidP="005E7B26">
            <w:pPr>
              <w:jc w:val="center"/>
            </w:pPr>
            <w:r w:rsidRPr="00AC7D8A">
              <w:t>CHL</w:t>
            </w:r>
          </w:p>
        </w:tc>
        <w:tc>
          <w:tcPr>
            <w:tcW w:w="1260" w:type="dxa"/>
            <w:tcBorders>
              <w:top w:val="nil"/>
              <w:left w:val="nil"/>
              <w:bottom w:val="nil"/>
              <w:right w:val="nil"/>
            </w:tcBorders>
          </w:tcPr>
          <w:p w14:paraId="2924D1A2" w14:textId="77777777" w:rsidR="005517EB" w:rsidRPr="00AC7D8A" w:rsidRDefault="005517EB" w:rsidP="005E7B26">
            <w:pPr>
              <w:jc w:val="center"/>
            </w:pPr>
            <w:r w:rsidRPr="00AC7D8A">
              <w:t>$190,411</w:t>
            </w:r>
          </w:p>
        </w:tc>
        <w:tc>
          <w:tcPr>
            <w:tcW w:w="1260" w:type="dxa"/>
            <w:tcBorders>
              <w:top w:val="nil"/>
              <w:left w:val="nil"/>
              <w:bottom w:val="nil"/>
              <w:right w:val="nil"/>
            </w:tcBorders>
          </w:tcPr>
          <w:p w14:paraId="048AFDA9" w14:textId="77777777" w:rsidR="005517EB" w:rsidRPr="00AC7D8A" w:rsidRDefault="005517EB" w:rsidP="005E7B26">
            <w:pPr>
              <w:jc w:val="center"/>
            </w:pPr>
            <w:r w:rsidRPr="00AC7D8A">
              <w:t>$726,941</w:t>
            </w:r>
          </w:p>
        </w:tc>
        <w:tc>
          <w:tcPr>
            <w:tcW w:w="1080" w:type="dxa"/>
            <w:tcBorders>
              <w:top w:val="nil"/>
              <w:left w:val="nil"/>
              <w:bottom w:val="nil"/>
              <w:right w:val="nil"/>
            </w:tcBorders>
          </w:tcPr>
          <w:p w14:paraId="6331ECA6" w14:textId="77777777" w:rsidR="005517EB" w:rsidRPr="00AC7D8A" w:rsidRDefault="005517EB" w:rsidP="005E7B26">
            <w:pPr>
              <w:jc w:val="center"/>
            </w:pPr>
            <w:r w:rsidRPr="00AC7D8A">
              <w:t>290,352</w:t>
            </w:r>
          </w:p>
        </w:tc>
        <w:tc>
          <w:tcPr>
            <w:tcW w:w="1080" w:type="dxa"/>
            <w:tcBorders>
              <w:top w:val="nil"/>
              <w:left w:val="nil"/>
              <w:bottom w:val="nil"/>
              <w:right w:val="nil"/>
            </w:tcBorders>
          </w:tcPr>
          <w:p w14:paraId="0D50753F" w14:textId="77777777" w:rsidR="005517EB" w:rsidRPr="00AC7D8A" w:rsidRDefault="005517EB" w:rsidP="005E7B26">
            <w:pPr>
              <w:jc w:val="center"/>
            </w:pPr>
            <w:r w:rsidRPr="00AC7D8A">
              <w:t>7.64</w:t>
            </w:r>
          </w:p>
        </w:tc>
        <w:tc>
          <w:tcPr>
            <w:tcW w:w="985" w:type="dxa"/>
            <w:tcBorders>
              <w:top w:val="nil"/>
              <w:left w:val="nil"/>
              <w:bottom w:val="nil"/>
            </w:tcBorders>
          </w:tcPr>
          <w:p w14:paraId="62AEBCAA" w14:textId="77777777" w:rsidR="005517EB" w:rsidRPr="00AC7D8A" w:rsidRDefault="005517EB" w:rsidP="005E7B26">
            <w:pPr>
              <w:jc w:val="center"/>
            </w:pPr>
            <w:r w:rsidRPr="00AC7D8A">
              <w:t>1.7</w:t>
            </w:r>
          </w:p>
        </w:tc>
      </w:tr>
      <w:tr w:rsidR="005517EB" w:rsidRPr="00AC7D8A" w14:paraId="7558B2F0" w14:textId="77777777" w:rsidTr="005E7B26">
        <w:tc>
          <w:tcPr>
            <w:tcW w:w="2785" w:type="dxa"/>
            <w:tcBorders>
              <w:top w:val="nil"/>
              <w:bottom w:val="nil"/>
              <w:right w:val="nil"/>
            </w:tcBorders>
          </w:tcPr>
          <w:p w14:paraId="69F7AFE3" w14:textId="77777777" w:rsidR="005517EB" w:rsidRPr="00AC7D8A" w:rsidRDefault="005517EB" w:rsidP="005E7B26">
            <w:r w:rsidRPr="00AC7D8A">
              <w:t>T-Mobile US Inc.</w:t>
            </w:r>
          </w:p>
        </w:tc>
        <w:tc>
          <w:tcPr>
            <w:tcW w:w="900" w:type="dxa"/>
            <w:tcBorders>
              <w:top w:val="nil"/>
              <w:left w:val="nil"/>
              <w:bottom w:val="nil"/>
              <w:right w:val="nil"/>
            </w:tcBorders>
          </w:tcPr>
          <w:p w14:paraId="5E238D7A" w14:textId="77777777" w:rsidR="005517EB" w:rsidRPr="00AC7D8A" w:rsidRDefault="005517EB" w:rsidP="005E7B26">
            <w:pPr>
              <w:jc w:val="center"/>
            </w:pPr>
            <w:r w:rsidRPr="00AC7D8A">
              <w:t>TMUS</w:t>
            </w:r>
          </w:p>
        </w:tc>
        <w:tc>
          <w:tcPr>
            <w:tcW w:w="1260" w:type="dxa"/>
            <w:tcBorders>
              <w:top w:val="nil"/>
              <w:left w:val="nil"/>
              <w:bottom w:val="nil"/>
              <w:right w:val="nil"/>
            </w:tcBorders>
          </w:tcPr>
          <w:p w14:paraId="14F75E62" w14:textId="77777777" w:rsidR="005517EB" w:rsidRPr="00AC7D8A" w:rsidRDefault="005517EB" w:rsidP="005E7B26">
            <w:pPr>
              <w:jc w:val="center"/>
            </w:pPr>
            <w:r w:rsidRPr="00AC7D8A">
              <w:t>$53,615</w:t>
            </w:r>
          </w:p>
        </w:tc>
        <w:tc>
          <w:tcPr>
            <w:tcW w:w="1260" w:type="dxa"/>
            <w:tcBorders>
              <w:top w:val="nil"/>
              <w:left w:val="nil"/>
              <w:bottom w:val="nil"/>
              <w:right w:val="nil"/>
            </w:tcBorders>
          </w:tcPr>
          <w:p w14:paraId="70ECA001" w14:textId="77777777" w:rsidR="005517EB" w:rsidRPr="00AC7D8A" w:rsidRDefault="005517EB" w:rsidP="005E7B26">
            <w:pPr>
              <w:jc w:val="center"/>
            </w:pPr>
            <w:r w:rsidRPr="00AC7D8A">
              <w:t>$40,604</w:t>
            </w:r>
          </w:p>
        </w:tc>
        <w:tc>
          <w:tcPr>
            <w:tcW w:w="1080" w:type="dxa"/>
            <w:tcBorders>
              <w:top w:val="nil"/>
              <w:left w:val="nil"/>
              <w:bottom w:val="nil"/>
              <w:right w:val="nil"/>
            </w:tcBorders>
          </w:tcPr>
          <w:p w14:paraId="40C32E5D" w14:textId="77777777" w:rsidR="005517EB" w:rsidRPr="00AC7D8A" w:rsidRDefault="005517EB" w:rsidP="005E7B26">
            <w:pPr>
              <w:jc w:val="center"/>
            </w:pPr>
            <w:r w:rsidRPr="00AC7D8A">
              <w:t>10,816</w:t>
            </w:r>
          </w:p>
        </w:tc>
        <w:tc>
          <w:tcPr>
            <w:tcW w:w="1080" w:type="dxa"/>
            <w:tcBorders>
              <w:top w:val="nil"/>
              <w:left w:val="nil"/>
              <w:bottom w:val="nil"/>
              <w:right w:val="nil"/>
            </w:tcBorders>
          </w:tcPr>
          <w:p w14:paraId="1AD6841F" w14:textId="77777777" w:rsidR="005517EB" w:rsidRPr="00AC7D8A" w:rsidRDefault="005517EB" w:rsidP="005E7B26">
            <w:pPr>
              <w:jc w:val="center"/>
            </w:pPr>
            <w:r w:rsidRPr="00AC7D8A">
              <w:t>6.53</w:t>
            </w:r>
          </w:p>
        </w:tc>
        <w:tc>
          <w:tcPr>
            <w:tcW w:w="985" w:type="dxa"/>
            <w:tcBorders>
              <w:top w:val="nil"/>
              <w:left w:val="nil"/>
              <w:bottom w:val="nil"/>
            </w:tcBorders>
          </w:tcPr>
          <w:p w14:paraId="3297670A" w14:textId="77777777" w:rsidR="005517EB" w:rsidRPr="00AC7D8A" w:rsidRDefault="005517EB" w:rsidP="005E7B26">
            <w:pPr>
              <w:jc w:val="center"/>
            </w:pPr>
            <w:r w:rsidRPr="00AC7D8A">
              <w:t>-</w:t>
            </w:r>
          </w:p>
        </w:tc>
      </w:tr>
      <w:tr w:rsidR="005517EB" w:rsidRPr="00AC7D8A" w14:paraId="50CB5FD4" w14:textId="77777777" w:rsidTr="005E7B26">
        <w:tc>
          <w:tcPr>
            <w:tcW w:w="2785" w:type="dxa"/>
            <w:tcBorders>
              <w:top w:val="nil"/>
              <w:bottom w:val="nil"/>
              <w:right w:val="nil"/>
            </w:tcBorders>
          </w:tcPr>
          <w:p w14:paraId="66D585E4" w14:textId="77777777" w:rsidR="005517EB" w:rsidRPr="00AC7D8A" w:rsidRDefault="005517EB" w:rsidP="005E7B26">
            <w:r w:rsidRPr="00AC7D8A">
              <w:t>Sprint Corp</w:t>
            </w:r>
          </w:p>
        </w:tc>
        <w:tc>
          <w:tcPr>
            <w:tcW w:w="900" w:type="dxa"/>
            <w:tcBorders>
              <w:top w:val="nil"/>
              <w:left w:val="nil"/>
              <w:bottom w:val="nil"/>
              <w:right w:val="nil"/>
            </w:tcBorders>
          </w:tcPr>
          <w:p w14:paraId="287E5A77" w14:textId="77777777" w:rsidR="005517EB" w:rsidRPr="00AC7D8A" w:rsidRDefault="005517EB" w:rsidP="005E7B26">
            <w:pPr>
              <w:jc w:val="center"/>
            </w:pPr>
            <w:r w:rsidRPr="00AC7D8A">
              <w:t>S</w:t>
            </w:r>
          </w:p>
        </w:tc>
        <w:tc>
          <w:tcPr>
            <w:tcW w:w="1260" w:type="dxa"/>
            <w:tcBorders>
              <w:top w:val="nil"/>
              <w:left w:val="nil"/>
              <w:bottom w:val="nil"/>
              <w:right w:val="nil"/>
            </w:tcBorders>
          </w:tcPr>
          <w:p w14:paraId="12614A85" w14:textId="77777777" w:rsidR="005517EB" w:rsidRPr="00AC7D8A" w:rsidRDefault="005517EB" w:rsidP="005E7B26">
            <w:pPr>
              <w:jc w:val="center"/>
            </w:pPr>
            <w:r w:rsidRPr="00AC7D8A">
              <w:t>$23,417</w:t>
            </w:r>
          </w:p>
        </w:tc>
        <w:tc>
          <w:tcPr>
            <w:tcW w:w="1260" w:type="dxa"/>
            <w:tcBorders>
              <w:top w:val="nil"/>
              <w:left w:val="nil"/>
              <w:bottom w:val="nil"/>
              <w:right w:val="nil"/>
            </w:tcBorders>
          </w:tcPr>
          <w:p w14:paraId="39748824" w14:textId="77777777" w:rsidR="005517EB" w:rsidRPr="00AC7D8A" w:rsidRDefault="005517EB" w:rsidP="005E7B26">
            <w:pPr>
              <w:jc w:val="center"/>
            </w:pPr>
            <w:r w:rsidRPr="00AC7D8A">
              <w:t>$33,247</w:t>
            </w:r>
          </w:p>
        </w:tc>
        <w:tc>
          <w:tcPr>
            <w:tcW w:w="1080" w:type="dxa"/>
            <w:tcBorders>
              <w:top w:val="nil"/>
              <w:left w:val="nil"/>
              <w:bottom w:val="nil"/>
              <w:right w:val="nil"/>
            </w:tcBorders>
          </w:tcPr>
          <w:p w14:paraId="46978CEB" w14:textId="77777777" w:rsidR="005517EB" w:rsidRPr="00AC7D8A" w:rsidRDefault="005517EB" w:rsidP="005E7B26">
            <w:pPr>
              <w:jc w:val="center"/>
            </w:pPr>
            <w:r w:rsidRPr="00AC7D8A">
              <w:t>9,874</w:t>
            </w:r>
          </w:p>
        </w:tc>
        <w:tc>
          <w:tcPr>
            <w:tcW w:w="1080" w:type="dxa"/>
            <w:tcBorders>
              <w:top w:val="nil"/>
              <w:left w:val="nil"/>
              <w:bottom w:val="nil"/>
              <w:right w:val="nil"/>
            </w:tcBorders>
          </w:tcPr>
          <w:p w14:paraId="3F05E3EB" w14:textId="77777777" w:rsidR="005517EB" w:rsidRPr="00AC7D8A" w:rsidRDefault="005517EB" w:rsidP="005E7B26">
            <w:pPr>
              <w:jc w:val="center"/>
            </w:pPr>
            <w:r w:rsidRPr="00AC7D8A">
              <w:t>5.35</w:t>
            </w:r>
          </w:p>
        </w:tc>
        <w:tc>
          <w:tcPr>
            <w:tcW w:w="985" w:type="dxa"/>
            <w:tcBorders>
              <w:top w:val="nil"/>
              <w:left w:val="nil"/>
              <w:bottom w:val="nil"/>
            </w:tcBorders>
          </w:tcPr>
          <w:p w14:paraId="60059253" w14:textId="77777777" w:rsidR="005517EB" w:rsidRPr="00AC7D8A" w:rsidRDefault="005517EB" w:rsidP="005E7B26">
            <w:pPr>
              <w:jc w:val="center"/>
            </w:pPr>
            <w:r w:rsidRPr="00AC7D8A">
              <w:t>-</w:t>
            </w:r>
          </w:p>
        </w:tc>
      </w:tr>
      <w:tr w:rsidR="005517EB" w:rsidRPr="00AC7D8A" w14:paraId="4EB90B6D" w14:textId="77777777" w:rsidTr="005E7B26">
        <w:tc>
          <w:tcPr>
            <w:tcW w:w="2785" w:type="dxa"/>
            <w:tcBorders>
              <w:top w:val="nil"/>
              <w:right w:val="nil"/>
            </w:tcBorders>
          </w:tcPr>
          <w:p w14:paraId="25283484" w14:textId="77777777" w:rsidR="005517EB" w:rsidRPr="00AC7D8A" w:rsidRDefault="005517EB" w:rsidP="005E7B26">
            <w:pPr>
              <w:rPr>
                <w:b/>
              </w:rPr>
            </w:pPr>
            <w:r w:rsidRPr="00AC7D8A">
              <w:rPr>
                <w:b/>
              </w:rPr>
              <w:t>Industry Average</w:t>
            </w:r>
          </w:p>
        </w:tc>
        <w:tc>
          <w:tcPr>
            <w:tcW w:w="900" w:type="dxa"/>
            <w:tcBorders>
              <w:top w:val="nil"/>
              <w:left w:val="nil"/>
              <w:right w:val="nil"/>
            </w:tcBorders>
          </w:tcPr>
          <w:p w14:paraId="12736008" w14:textId="77777777" w:rsidR="005517EB" w:rsidRPr="00AC7D8A" w:rsidRDefault="005517EB" w:rsidP="005E7B26">
            <w:pPr>
              <w:jc w:val="center"/>
              <w:rPr>
                <w:b/>
              </w:rPr>
            </w:pPr>
          </w:p>
        </w:tc>
        <w:tc>
          <w:tcPr>
            <w:tcW w:w="1260" w:type="dxa"/>
            <w:tcBorders>
              <w:top w:val="nil"/>
              <w:left w:val="nil"/>
              <w:right w:val="nil"/>
            </w:tcBorders>
          </w:tcPr>
          <w:p w14:paraId="6F37CF98" w14:textId="77777777" w:rsidR="005517EB" w:rsidRPr="00AC7D8A" w:rsidRDefault="005517EB" w:rsidP="005E7B26">
            <w:pPr>
              <w:jc w:val="center"/>
              <w:rPr>
                <w:b/>
              </w:rPr>
            </w:pPr>
            <w:r w:rsidRPr="00AC7D8A">
              <w:rPr>
                <w:b/>
              </w:rPr>
              <w:t>$15,385</w:t>
            </w:r>
          </w:p>
        </w:tc>
        <w:tc>
          <w:tcPr>
            <w:tcW w:w="1260" w:type="dxa"/>
            <w:tcBorders>
              <w:top w:val="nil"/>
              <w:left w:val="nil"/>
              <w:right w:val="nil"/>
            </w:tcBorders>
          </w:tcPr>
          <w:p w14:paraId="4B23FF5E" w14:textId="77777777" w:rsidR="005517EB" w:rsidRPr="00AC7D8A" w:rsidRDefault="005517EB" w:rsidP="005E7B26">
            <w:pPr>
              <w:jc w:val="center"/>
              <w:rPr>
                <w:b/>
              </w:rPr>
            </w:pPr>
          </w:p>
        </w:tc>
        <w:tc>
          <w:tcPr>
            <w:tcW w:w="1080" w:type="dxa"/>
            <w:tcBorders>
              <w:top w:val="nil"/>
              <w:left w:val="nil"/>
              <w:right w:val="nil"/>
            </w:tcBorders>
          </w:tcPr>
          <w:p w14:paraId="3F088A72" w14:textId="77777777" w:rsidR="005517EB" w:rsidRPr="00AC7D8A" w:rsidRDefault="005517EB" w:rsidP="005E7B26">
            <w:pPr>
              <w:jc w:val="center"/>
              <w:rPr>
                <w:b/>
              </w:rPr>
            </w:pPr>
          </w:p>
        </w:tc>
        <w:tc>
          <w:tcPr>
            <w:tcW w:w="1080" w:type="dxa"/>
            <w:tcBorders>
              <w:top w:val="nil"/>
              <w:left w:val="nil"/>
              <w:right w:val="nil"/>
            </w:tcBorders>
          </w:tcPr>
          <w:p w14:paraId="45B41453" w14:textId="77777777" w:rsidR="005517EB" w:rsidRPr="00AC7D8A" w:rsidRDefault="005517EB" w:rsidP="005E7B26">
            <w:pPr>
              <w:jc w:val="center"/>
              <w:rPr>
                <w:b/>
              </w:rPr>
            </w:pPr>
          </w:p>
        </w:tc>
        <w:tc>
          <w:tcPr>
            <w:tcW w:w="985" w:type="dxa"/>
            <w:tcBorders>
              <w:top w:val="nil"/>
              <w:left w:val="nil"/>
            </w:tcBorders>
          </w:tcPr>
          <w:p w14:paraId="287C96FC" w14:textId="77777777" w:rsidR="005517EB" w:rsidRPr="00AC7D8A" w:rsidRDefault="005517EB" w:rsidP="005E7B26">
            <w:pPr>
              <w:jc w:val="center"/>
              <w:rPr>
                <w:b/>
              </w:rPr>
            </w:pPr>
            <w:r w:rsidRPr="00AC7D8A">
              <w:rPr>
                <w:b/>
              </w:rPr>
              <w:t>3.9</w:t>
            </w:r>
          </w:p>
        </w:tc>
      </w:tr>
    </w:tbl>
    <w:p w14:paraId="320E3888" w14:textId="77777777" w:rsidR="005517EB" w:rsidRPr="00AC7D8A" w:rsidRDefault="005517EB" w:rsidP="00B047D7">
      <w:pPr>
        <w:rPr>
          <w:b/>
        </w:rPr>
      </w:pPr>
    </w:p>
    <w:p w14:paraId="213D8E54" w14:textId="0C90F14E" w:rsidR="005517EB" w:rsidRPr="00AC7D8A" w:rsidRDefault="00CA1C0B" w:rsidP="005517EB">
      <w:pPr>
        <w:jc w:val="center"/>
        <w:rPr>
          <w:b/>
        </w:rPr>
      </w:pPr>
      <w:r w:rsidRPr="00AC7D8A">
        <w:rPr>
          <w:b/>
        </w:rPr>
        <w:t>Ownership</w:t>
      </w:r>
      <w:r w:rsidR="005517EB" w:rsidRPr="00AC7D8A">
        <w:rPr>
          <w:b/>
        </w:rPr>
        <w:t xml:space="preserve"> Insider vs Institutional/ Mutual Funds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385"/>
        <w:gridCol w:w="2965"/>
      </w:tblGrid>
      <w:tr w:rsidR="005517EB" w:rsidRPr="00AC7D8A" w14:paraId="6910B01E" w14:textId="77777777" w:rsidTr="005E7B26">
        <w:tc>
          <w:tcPr>
            <w:tcW w:w="6385" w:type="dxa"/>
          </w:tcPr>
          <w:p w14:paraId="5189E649" w14:textId="77777777" w:rsidR="005517EB" w:rsidRPr="00AC7D8A" w:rsidRDefault="005517EB" w:rsidP="005E7B26">
            <w:r w:rsidRPr="00AC7D8A">
              <w:t>% of Shares Held by All Insider Owners</w:t>
            </w:r>
          </w:p>
        </w:tc>
        <w:tc>
          <w:tcPr>
            <w:tcW w:w="2965" w:type="dxa"/>
          </w:tcPr>
          <w:p w14:paraId="32545A15" w14:textId="77777777" w:rsidR="005517EB" w:rsidRPr="00AC7D8A" w:rsidRDefault="005517EB" w:rsidP="005E7B26">
            <w:pPr>
              <w:jc w:val="center"/>
            </w:pPr>
            <w:r w:rsidRPr="00AC7D8A">
              <w:t>3%</w:t>
            </w:r>
          </w:p>
        </w:tc>
      </w:tr>
      <w:tr w:rsidR="005517EB" w:rsidRPr="00AC7D8A" w14:paraId="18B0CF4C" w14:textId="77777777" w:rsidTr="005E7B26">
        <w:tc>
          <w:tcPr>
            <w:tcW w:w="6385" w:type="dxa"/>
          </w:tcPr>
          <w:p w14:paraId="40415C98" w14:textId="77777777" w:rsidR="005517EB" w:rsidRPr="00AC7D8A" w:rsidRDefault="005517EB" w:rsidP="005E7B26">
            <w:r w:rsidRPr="00AC7D8A">
              <w:t>% of Shares Held by Institutional &amp; Mutual Fund Owners</w:t>
            </w:r>
          </w:p>
        </w:tc>
        <w:tc>
          <w:tcPr>
            <w:tcW w:w="2965" w:type="dxa"/>
          </w:tcPr>
          <w:p w14:paraId="268A0A10" w14:textId="77777777" w:rsidR="005517EB" w:rsidRPr="00AC7D8A" w:rsidRDefault="005517EB" w:rsidP="005E7B26">
            <w:pPr>
              <w:jc w:val="center"/>
            </w:pPr>
            <w:r w:rsidRPr="00AC7D8A">
              <w:t>70.26%</w:t>
            </w:r>
          </w:p>
        </w:tc>
      </w:tr>
    </w:tbl>
    <w:p w14:paraId="215B2281" w14:textId="77777777" w:rsidR="00CB124A" w:rsidRDefault="00CB124A" w:rsidP="00CB124A">
      <w:pPr>
        <w:rPr>
          <w:b/>
        </w:rPr>
      </w:pPr>
    </w:p>
    <w:p w14:paraId="4BF89BA2" w14:textId="4E7CB5E6" w:rsidR="005517EB" w:rsidRPr="00AC7D8A" w:rsidRDefault="005517EB" w:rsidP="00CB124A">
      <w:pPr>
        <w:jc w:val="center"/>
        <w:rPr>
          <w:b/>
        </w:rPr>
      </w:pPr>
      <w:r w:rsidRPr="00AC7D8A">
        <w:rPr>
          <w:b/>
        </w:rPr>
        <w:t>Top 5 Shareholders</w:t>
      </w:r>
    </w:p>
    <w:tbl>
      <w:tblPr>
        <w:tblStyle w:val="TableGrid"/>
        <w:tblW w:w="0" w:type="auto"/>
        <w:tblLook w:val="04A0" w:firstRow="1" w:lastRow="0" w:firstColumn="1" w:lastColumn="0" w:noHBand="0" w:noVBand="1"/>
      </w:tblPr>
      <w:tblGrid>
        <w:gridCol w:w="3116"/>
        <w:gridCol w:w="3117"/>
        <w:gridCol w:w="3117"/>
      </w:tblGrid>
      <w:tr w:rsidR="005517EB" w:rsidRPr="00AC7D8A" w14:paraId="0ED4A9FD" w14:textId="77777777" w:rsidTr="005E7B26">
        <w:tc>
          <w:tcPr>
            <w:tcW w:w="3116" w:type="dxa"/>
          </w:tcPr>
          <w:p w14:paraId="1B777889" w14:textId="77777777" w:rsidR="005517EB" w:rsidRPr="00AC7D8A" w:rsidRDefault="005517EB" w:rsidP="005E7B26">
            <w:pPr>
              <w:jc w:val="center"/>
              <w:rPr>
                <w:b/>
              </w:rPr>
            </w:pPr>
            <w:r w:rsidRPr="00AC7D8A">
              <w:rPr>
                <w:b/>
              </w:rPr>
              <w:t>Holder</w:t>
            </w:r>
          </w:p>
        </w:tc>
        <w:tc>
          <w:tcPr>
            <w:tcW w:w="3117" w:type="dxa"/>
          </w:tcPr>
          <w:p w14:paraId="5157DBB6" w14:textId="77777777" w:rsidR="005517EB" w:rsidRPr="00AC7D8A" w:rsidRDefault="005517EB" w:rsidP="005E7B26">
            <w:pPr>
              <w:jc w:val="center"/>
              <w:rPr>
                <w:b/>
              </w:rPr>
            </w:pPr>
            <w:r w:rsidRPr="00AC7D8A">
              <w:rPr>
                <w:b/>
              </w:rPr>
              <w:t>Shares</w:t>
            </w:r>
          </w:p>
        </w:tc>
        <w:tc>
          <w:tcPr>
            <w:tcW w:w="3117" w:type="dxa"/>
          </w:tcPr>
          <w:p w14:paraId="3294BAF2" w14:textId="77777777" w:rsidR="005517EB" w:rsidRPr="00AC7D8A" w:rsidRDefault="005517EB" w:rsidP="005E7B26">
            <w:pPr>
              <w:jc w:val="center"/>
              <w:rPr>
                <w:b/>
              </w:rPr>
            </w:pPr>
            <w:r w:rsidRPr="00AC7D8A">
              <w:rPr>
                <w:b/>
              </w:rPr>
              <w:t>% Out</w:t>
            </w:r>
          </w:p>
        </w:tc>
      </w:tr>
      <w:tr w:rsidR="005517EB" w:rsidRPr="00AC7D8A" w14:paraId="40EDAADA" w14:textId="77777777" w:rsidTr="005E7B26">
        <w:tc>
          <w:tcPr>
            <w:tcW w:w="3116" w:type="dxa"/>
          </w:tcPr>
          <w:p w14:paraId="0F89FABF" w14:textId="77777777" w:rsidR="005517EB" w:rsidRPr="00AC7D8A" w:rsidRDefault="005517EB" w:rsidP="005E7B26">
            <w:r w:rsidRPr="00AC7D8A">
              <w:t>Vanguard Group Inc. (The)</w:t>
            </w:r>
          </w:p>
        </w:tc>
        <w:tc>
          <w:tcPr>
            <w:tcW w:w="3117" w:type="dxa"/>
          </w:tcPr>
          <w:p w14:paraId="3B652ED4" w14:textId="77777777" w:rsidR="005517EB" w:rsidRPr="00AC7D8A" w:rsidRDefault="005517EB" w:rsidP="005E7B26">
            <w:pPr>
              <w:jc w:val="center"/>
            </w:pPr>
            <w:r w:rsidRPr="00AC7D8A">
              <w:t>290,162,326</w:t>
            </w:r>
          </w:p>
        </w:tc>
        <w:tc>
          <w:tcPr>
            <w:tcW w:w="3117" w:type="dxa"/>
          </w:tcPr>
          <w:p w14:paraId="33C252C2" w14:textId="77777777" w:rsidR="005517EB" w:rsidRPr="00AC7D8A" w:rsidRDefault="005517EB" w:rsidP="005E7B26">
            <w:pPr>
              <w:jc w:val="center"/>
            </w:pPr>
            <w:r w:rsidRPr="00AC7D8A">
              <w:t>7.11%</w:t>
            </w:r>
          </w:p>
        </w:tc>
      </w:tr>
      <w:tr w:rsidR="005517EB" w:rsidRPr="00AC7D8A" w14:paraId="5B40065E" w14:textId="77777777" w:rsidTr="005E7B26">
        <w:tc>
          <w:tcPr>
            <w:tcW w:w="3116" w:type="dxa"/>
          </w:tcPr>
          <w:p w14:paraId="78C046E2" w14:textId="77777777" w:rsidR="005517EB" w:rsidRPr="00AC7D8A" w:rsidRDefault="005517EB" w:rsidP="005E7B26">
            <w:r w:rsidRPr="00AC7D8A">
              <w:t>Blackrock Inc.</w:t>
            </w:r>
          </w:p>
        </w:tc>
        <w:tc>
          <w:tcPr>
            <w:tcW w:w="3117" w:type="dxa"/>
          </w:tcPr>
          <w:p w14:paraId="036C3634" w14:textId="77777777" w:rsidR="005517EB" w:rsidRPr="00AC7D8A" w:rsidRDefault="005517EB" w:rsidP="005E7B26">
            <w:pPr>
              <w:jc w:val="center"/>
            </w:pPr>
            <w:r w:rsidRPr="00AC7D8A">
              <w:t>265,904,768</w:t>
            </w:r>
          </w:p>
        </w:tc>
        <w:tc>
          <w:tcPr>
            <w:tcW w:w="3117" w:type="dxa"/>
          </w:tcPr>
          <w:p w14:paraId="69682428" w14:textId="77777777" w:rsidR="005517EB" w:rsidRPr="00AC7D8A" w:rsidRDefault="005517EB" w:rsidP="005E7B26">
            <w:pPr>
              <w:jc w:val="center"/>
            </w:pPr>
            <w:r w:rsidRPr="00AC7D8A">
              <w:t>6.52%</w:t>
            </w:r>
          </w:p>
        </w:tc>
      </w:tr>
      <w:tr w:rsidR="005517EB" w:rsidRPr="00AC7D8A" w14:paraId="77026E4B" w14:textId="77777777" w:rsidTr="005E7B26">
        <w:tc>
          <w:tcPr>
            <w:tcW w:w="3116" w:type="dxa"/>
          </w:tcPr>
          <w:p w14:paraId="42413D4F" w14:textId="77777777" w:rsidR="005517EB" w:rsidRPr="00AC7D8A" w:rsidRDefault="005517EB" w:rsidP="005E7B26">
            <w:r w:rsidRPr="00AC7D8A">
              <w:t>State Street Corporation</w:t>
            </w:r>
          </w:p>
        </w:tc>
        <w:tc>
          <w:tcPr>
            <w:tcW w:w="3117" w:type="dxa"/>
          </w:tcPr>
          <w:p w14:paraId="5BD9CE86" w14:textId="77777777" w:rsidR="005517EB" w:rsidRPr="00AC7D8A" w:rsidRDefault="005517EB" w:rsidP="005E7B26">
            <w:pPr>
              <w:jc w:val="center"/>
            </w:pPr>
            <w:r w:rsidRPr="00AC7D8A">
              <w:t>162,763,040</w:t>
            </w:r>
          </w:p>
        </w:tc>
        <w:tc>
          <w:tcPr>
            <w:tcW w:w="3117" w:type="dxa"/>
          </w:tcPr>
          <w:p w14:paraId="4DD4C7D1" w14:textId="77777777" w:rsidR="005517EB" w:rsidRPr="00AC7D8A" w:rsidRDefault="005517EB" w:rsidP="005E7B26">
            <w:pPr>
              <w:jc w:val="center"/>
            </w:pPr>
            <w:r w:rsidRPr="00AC7D8A">
              <w:t>3.99%</w:t>
            </w:r>
          </w:p>
        </w:tc>
      </w:tr>
      <w:tr w:rsidR="005517EB" w:rsidRPr="00AC7D8A" w14:paraId="62E779E8" w14:textId="77777777" w:rsidTr="005E7B26">
        <w:tc>
          <w:tcPr>
            <w:tcW w:w="3116" w:type="dxa"/>
          </w:tcPr>
          <w:p w14:paraId="334E3D7D" w14:textId="77777777" w:rsidR="005517EB" w:rsidRPr="00AC7D8A" w:rsidRDefault="005517EB" w:rsidP="005E7B26">
            <w:r w:rsidRPr="00AC7D8A">
              <w:t>Capital Research Global</w:t>
            </w:r>
          </w:p>
        </w:tc>
        <w:tc>
          <w:tcPr>
            <w:tcW w:w="3117" w:type="dxa"/>
          </w:tcPr>
          <w:p w14:paraId="5B99C331" w14:textId="77777777" w:rsidR="005517EB" w:rsidRPr="00AC7D8A" w:rsidRDefault="005517EB" w:rsidP="005E7B26">
            <w:pPr>
              <w:jc w:val="center"/>
            </w:pPr>
            <w:r w:rsidRPr="00AC7D8A">
              <w:t>158,406,980</w:t>
            </w:r>
          </w:p>
        </w:tc>
        <w:tc>
          <w:tcPr>
            <w:tcW w:w="3117" w:type="dxa"/>
          </w:tcPr>
          <w:p w14:paraId="34E22663" w14:textId="77777777" w:rsidR="005517EB" w:rsidRPr="00AC7D8A" w:rsidRDefault="005517EB" w:rsidP="005E7B26">
            <w:pPr>
              <w:jc w:val="center"/>
            </w:pPr>
            <w:r w:rsidRPr="00AC7D8A">
              <w:t>3.88%</w:t>
            </w:r>
          </w:p>
        </w:tc>
      </w:tr>
      <w:tr w:rsidR="005517EB" w:rsidRPr="00AC7D8A" w14:paraId="1B0426B1" w14:textId="77777777" w:rsidTr="005E7B26">
        <w:tc>
          <w:tcPr>
            <w:tcW w:w="3116" w:type="dxa"/>
          </w:tcPr>
          <w:p w14:paraId="653CA03B" w14:textId="77777777" w:rsidR="005517EB" w:rsidRPr="00AC7D8A" w:rsidRDefault="005517EB" w:rsidP="005E7B26">
            <w:r w:rsidRPr="00AC7D8A">
              <w:t>Wellington Management Co.</w:t>
            </w:r>
          </w:p>
        </w:tc>
        <w:tc>
          <w:tcPr>
            <w:tcW w:w="3117" w:type="dxa"/>
          </w:tcPr>
          <w:p w14:paraId="61DBE74D" w14:textId="77777777" w:rsidR="005517EB" w:rsidRPr="00AC7D8A" w:rsidRDefault="005517EB" w:rsidP="005E7B26">
            <w:pPr>
              <w:jc w:val="center"/>
            </w:pPr>
            <w:r w:rsidRPr="00AC7D8A">
              <w:t>101,613,115</w:t>
            </w:r>
          </w:p>
        </w:tc>
        <w:tc>
          <w:tcPr>
            <w:tcW w:w="3117" w:type="dxa"/>
          </w:tcPr>
          <w:p w14:paraId="4C455614" w14:textId="77777777" w:rsidR="005517EB" w:rsidRPr="00AC7D8A" w:rsidRDefault="005517EB" w:rsidP="005E7B26">
            <w:pPr>
              <w:jc w:val="center"/>
            </w:pPr>
            <w:r w:rsidRPr="00AC7D8A">
              <w:t>2.49%</w:t>
            </w:r>
          </w:p>
        </w:tc>
      </w:tr>
    </w:tbl>
    <w:p w14:paraId="7CD9F686" w14:textId="41854E00" w:rsidR="00B047D7" w:rsidRPr="00AC7D8A" w:rsidRDefault="00B047D7" w:rsidP="00B047D7">
      <w:pPr>
        <w:rPr>
          <w:b/>
        </w:rPr>
      </w:pPr>
    </w:p>
    <w:p w14:paraId="73BB4231" w14:textId="77777777" w:rsidR="00CA1C0B" w:rsidRPr="00AC7D8A" w:rsidRDefault="00CA1C0B"/>
    <w:sectPr w:rsidR="00CA1C0B" w:rsidRPr="00AC7D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3D6D4" w14:textId="77777777" w:rsidR="00DA51F5" w:rsidRDefault="00DA51F5" w:rsidP="00A34EFB">
      <w:pPr>
        <w:spacing w:after="0" w:line="240" w:lineRule="auto"/>
      </w:pPr>
      <w:r>
        <w:separator/>
      </w:r>
    </w:p>
  </w:endnote>
  <w:endnote w:type="continuationSeparator" w:id="0">
    <w:p w14:paraId="7F68093A" w14:textId="77777777" w:rsidR="00DA51F5" w:rsidRDefault="00DA51F5"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A1"/>
    <w:family w:val="auto"/>
    <w:pitch w:val="variable"/>
    <w:sig w:usb0="A00002AF" w:usb1="400078FB" w:usb2="00000000" w:usb3="00000000" w:csb0="0000009F" w:csb1="00000000"/>
  </w:font>
  <w:font w:name="Harlow Solid Italic">
    <w:altName w:val="Calibri"/>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449E7185"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6B6FB7" w:rsidRPr="006B6FB7">
      <w:rPr>
        <w:b/>
        <w:bCs/>
        <w:i/>
        <w:noProof/>
        <w:sz w:val="24"/>
        <w:szCs w:val="24"/>
      </w:rPr>
      <w:t>1</w:t>
    </w:r>
    <w:r w:rsidRPr="00A34EFB">
      <w:rPr>
        <w:b/>
        <w:bCs/>
        <w: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559A9" w14:textId="77777777" w:rsidR="00DA51F5" w:rsidRDefault="00DA51F5" w:rsidP="00A34EFB">
      <w:pPr>
        <w:spacing w:after="0" w:line="240" w:lineRule="auto"/>
      </w:pPr>
      <w:r>
        <w:separator/>
      </w:r>
    </w:p>
  </w:footnote>
  <w:footnote w:type="continuationSeparator" w:id="0">
    <w:p w14:paraId="7C39AC4B" w14:textId="77777777" w:rsidR="00DA51F5" w:rsidRDefault="00DA51F5" w:rsidP="00A34E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0171" w14:textId="1A38078B" w:rsidR="00475F7E" w:rsidRPr="00475F7E" w:rsidRDefault="00475F7E"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Business  </w:t>
    </w:r>
    <w:r>
      <w:rPr>
        <w:rFonts w:ascii="Harlow Solid Italic" w:eastAsiaTheme="minorEastAsia" w:hAnsi="Harlow Solid Italic" w:cstheme="minorBidi"/>
        <w:color w:val="2F5496" w:themeColor="accent5" w:themeShade="BF"/>
        <w:kern w:val="24"/>
      </w:rPr>
      <w:tab/>
    </w:r>
    <w:r w:rsidRPr="00475F7E">
      <w:rPr>
        <w:rFonts w:asciiTheme="minorHAnsi" w:eastAsiaTheme="minorEastAsia" w:hAnsi="Calibri" w:cstheme="minorBidi"/>
        <w:b/>
        <w:bCs/>
        <w:color w:val="2F5496" w:themeColor="accent5" w:themeShade="BF"/>
        <w:kern w:val="24"/>
      </w:rPr>
      <w:t xml:space="preserve">FIN439 Investment Strategies – </w:t>
    </w:r>
    <w:r w:rsidR="00912BDA">
      <w:rPr>
        <w:rFonts w:asciiTheme="minorHAnsi" w:eastAsiaTheme="minorEastAsia" w:hAnsi="Calibri" w:cstheme="minorBidi"/>
        <w:b/>
        <w:bCs/>
        <w:color w:val="2F5496" w:themeColor="accent5" w:themeShade="BF"/>
        <w:kern w:val="24"/>
      </w:rPr>
      <w:t>Spring 2018</w:t>
    </w:r>
  </w:p>
  <w:p w14:paraId="7690A540" w14:textId="7136ADF1" w:rsidR="00475F7E" w:rsidRDefault="00475F7E" w:rsidP="00475F7E">
    <w:pPr>
      <w:pStyle w:val="NormalWeb"/>
      <w:spacing w:before="0" w:beforeAutospacing="0" w:after="0" w:afterAutospacing="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0AEB"/>
    <w:multiLevelType w:val="hybridMultilevel"/>
    <w:tmpl w:val="209C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E54DD"/>
    <w:multiLevelType w:val="hybridMultilevel"/>
    <w:tmpl w:val="C346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E5997"/>
    <w:multiLevelType w:val="hybridMultilevel"/>
    <w:tmpl w:val="5D52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55029"/>
    <w:multiLevelType w:val="hybridMultilevel"/>
    <w:tmpl w:val="1B74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467E9"/>
    <w:multiLevelType w:val="hybridMultilevel"/>
    <w:tmpl w:val="314C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E83E88"/>
    <w:multiLevelType w:val="hybridMultilevel"/>
    <w:tmpl w:val="48BCE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B43CD4"/>
    <w:multiLevelType w:val="hybridMultilevel"/>
    <w:tmpl w:val="F77A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B"/>
    <w:rsid w:val="00000D59"/>
    <w:rsid w:val="00030891"/>
    <w:rsid w:val="000353EA"/>
    <w:rsid w:val="0004656D"/>
    <w:rsid w:val="00064CFD"/>
    <w:rsid w:val="00074D1A"/>
    <w:rsid w:val="000C2163"/>
    <w:rsid w:val="000F28DE"/>
    <w:rsid w:val="000F3A38"/>
    <w:rsid w:val="00164FD2"/>
    <w:rsid w:val="001C1BAA"/>
    <w:rsid w:val="001E43D5"/>
    <w:rsid w:val="002129E5"/>
    <w:rsid w:val="002844A1"/>
    <w:rsid w:val="002A0BA7"/>
    <w:rsid w:val="002A2741"/>
    <w:rsid w:val="002B507E"/>
    <w:rsid w:val="002D552C"/>
    <w:rsid w:val="002E4BF4"/>
    <w:rsid w:val="003040A5"/>
    <w:rsid w:val="00304636"/>
    <w:rsid w:val="00327FEE"/>
    <w:rsid w:val="003B7F62"/>
    <w:rsid w:val="003E3B1B"/>
    <w:rsid w:val="003E432E"/>
    <w:rsid w:val="003F70F0"/>
    <w:rsid w:val="0045578F"/>
    <w:rsid w:val="00474A76"/>
    <w:rsid w:val="00475F7E"/>
    <w:rsid w:val="004906D5"/>
    <w:rsid w:val="004A0BDE"/>
    <w:rsid w:val="004C1D9A"/>
    <w:rsid w:val="004D3705"/>
    <w:rsid w:val="004D5A69"/>
    <w:rsid w:val="00505D22"/>
    <w:rsid w:val="005123A1"/>
    <w:rsid w:val="005517EB"/>
    <w:rsid w:val="006808C4"/>
    <w:rsid w:val="006834D1"/>
    <w:rsid w:val="00684E8E"/>
    <w:rsid w:val="0068628F"/>
    <w:rsid w:val="006A1355"/>
    <w:rsid w:val="006B2763"/>
    <w:rsid w:val="006B6FB7"/>
    <w:rsid w:val="00723BB6"/>
    <w:rsid w:val="0074545E"/>
    <w:rsid w:val="007818DD"/>
    <w:rsid w:val="007C1F6D"/>
    <w:rsid w:val="007F2168"/>
    <w:rsid w:val="00803450"/>
    <w:rsid w:val="008107EA"/>
    <w:rsid w:val="00831A21"/>
    <w:rsid w:val="008465EC"/>
    <w:rsid w:val="008520ED"/>
    <w:rsid w:val="0085509D"/>
    <w:rsid w:val="00862CA2"/>
    <w:rsid w:val="00863E93"/>
    <w:rsid w:val="00883A16"/>
    <w:rsid w:val="00894397"/>
    <w:rsid w:val="00912BDA"/>
    <w:rsid w:val="00922B30"/>
    <w:rsid w:val="009B5055"/>
    <w:rsid w:val="00A06CE3"/>
    <w:rsid w:val="00A34EFB"/>
    <w:rsid w:val="00A67576"/>
    <w:rsid w:val="00A921F7"/>
    <w:rsid w:val="00AB2D75"/>
    <w:rsid w:val="00AC5668"/>
    <w:rsid w:val="00AC7D8A"/>
    <w:rsid w:val="00AD5070"/>
    <w:rsid w:val="00B047D7"/>
    <w:rsid w:val="00B20593"/>
    <w:rsid w:val="00B20CE0"/>
    <w:rsid w:val="00B33E29"/>
    <w:rsid w:val="00B42DAD"/>
    <w:rsid w:val="00B679CF"/>
    <w:rsid w:val="00B7523E"/>
    <w:rsid w:val="00B8514F"/>
    <w:rsid w:val="00B93FE3"/>
    <w:rsid w:val="00BB62E2"/>
    <w:rsid w:val="00BC75D0"/>
    <w:rsid w:val="00BD3A43"/>
    <w:rsid w:val="00BD4D47"/>
    <w:rsid w:val="00BF2688"/>
    <w:rsid w:val="00C3434D"/>
    <w:rsid w:val="00C37DFF"/>
    <w:rsid w:val="00C929D6"/>
    <w:rsid w:val="00C97AF9"/>
    <w:rsid w:val="00CA1C0B"/>
    <w:rsid w:val="00CB124A"/>
    <w:rsid w:val="00CB5549"/>
    <w:rsid w:val="00CD0669"/>
    <w:rsid w:val="00CF4325"/>
    <w:rsid w:val="00D17368"/>
    <w:rsid w:val="00DA51F5"/>
    <w:rsid w:val="00DB29C7"/>
    <w:rsid w:val="00DE5187"/>
    <w:rsid w:val="00E61578"/>
    <w:rsid w:val="00E71317"/>
    <w:rsid w:val="00E75D5C"/>
    <w:rsid w:val="00E94393"/>
    <w:rsid w:val="00EA59E9"/>
    <w:rsid w:val="00ED68DA"/>
    <w:rsid w:val="00ED75E6"/>
    <w:rsid w:val="00F33886"/>
    <w:rsid w:val="00F721A1"/>
    <w:rsid w:val="00F83AC8"/>
    <w:rsid w:val="00FC2907"/>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B2D7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B2D7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6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1327</Words>
  <Characters>7570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Tredinnick, Jesse Robert</cp:lastModifiedBy>
  <cp:revision>3</cp:revision>
  <dcterms:created xsi:type="dcterms:W3CDTF">2018-04-24T23:42:00Z</dcterms:created>
  <dcterms:modified xsi:type="dcterms:W3CDTF">2018-05-04T21:22:00Z</dcterms:modified>
</cp:coreProperties>
</file>