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2274" w14:textId="0872AF82" w:rsidR="0074385A" w:rsidRDefault="00637F50" w:rsidP="0074385A">
      <w:pPr>
        <w:rPr>
          <w:b/>
          <w:bCs/>
          <w:color w:val="1F3864" w:themeColor="accent5" w:themeShade="80"/>
          <w:sz w:val="24"/>
          <w:szCs w:val="24"/>
        </w:rPr>
      </w:pPr>
      <w:r w:rsidRPr="00455693">
        <w:rPr>
          <w:noProof/>
          <w:sz w:val="20"/>
          <w:szCs w:val="20"/>
        </w:rPr>
        <w:drawing>
          <wp:anchor distT="0" distB="0" distL="114300" distR="114300" simplePos="0" relativeHeight="251658252" behindDoc="0" locked="0" layoutInCell="1" allowOverlap="1" wp14:anchorId="6E4809FD" wp14:editId="3D278694">
            <wp:simplePos x="0" y="0"/>
            <wp:positionH relativeFrom="margin">
              <wp:posOffset>135255</wp:posOffset>
            </wp:positionH>
            <wp:positionV relativeFrom="paragraph">
              <wp:posOffset>12065</wp:posOffset>
            </wp:positionV>
            <wp:extent cx="2262505" cy="1339215"/>
            <wp:effectExtent l="0" t="0" r="4445" b="0"/>
            <wp:wrapTight wrapText="bothSides">
              <wp:wrapPolygon edited="0">
                <wp:start x="0" y="0"/>
                <wp:lineTo x="0" y="21201"/>
                <wp:lineTo x="21461" y="21201"/>
                <wp:lineTo x="2146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62505"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51164A" w14:textId="296E38E0" w:rsidR="00EA462B" w:rsidRPr="0074385A" w:rsidRDefault="007B4D24" w:rsidP="0074385A">
      <w:pPr>
        <w:rPr>
          <w:b/>
          <w:bCs/>
          <w:color w:val="1F4E79" w:themeColor="accent1" w:themeShade="80"/>
          <w:sz w:val="32"/>
          <w:szCs w:val="32"/>
        </w:rPr>
      </w:pPr>
      <w:proofErr w:type="spellStart"/>
      <w:r>
        <w:rPr>
          <w:b/>
          <w:bCs/>
          <w:color w:val="1F3864" w:themeColor="accent5" w:themeShade="80"/>
          <w:sz w:val="24"/>
          <w:szCs w:val="24"/>
        </w:rPr>
        <w:t>RuoQian</w:t>
      </w:r>
      <w:proofErr w:type="spellEnd"/>
      <w:r>
        <w:rPr>
          <w:b/>
          <w:bCs/>
          <w:color w:val="1F3864" w:themeColor="accent5" w:themeShade="80"/>
          <w:sz w:val="24"/>
          <w:szCs w:val="24"/>
        </w:rPr>
        <w:t xml:space="preserve"> Hu</w:t>
      </w:r>
      <w:r w:rsidR="00EA462B" w:rsidRPr="0074385A">
        <w:rPr>
          <w:b/>
          <w:bCs/>
          <w:color w:val="1F3864" w:themeColor="accent5" w:themeShade="80"/>
          <w:sz w:val="24"/>
          <w:szCs w:val="24"/>
        </w:rPr>
        <w:t xml:space="preserve"> &amp; </w:t>
      </w:r>
      <w:proofErr w:type="spellStart"/>
      <w:r>
        <w:rPr>
          <w:b/>
          <w:bCs/>
          <w:color w:val="1F3864" w:themeColor="accent5" w:themeShade="80"/>
          <w:sz w:val="24"/>
          <w:szCs w:val="24"/>
        </w:rPr>
        <w:t>Yichen</w:t>
      </w:r>
      <w:proofErr w:type="spellEnd"/>
      <w:r>
        <w:rPr>
          <w:b/>
          <w:bCs/>
          <w:color w:val="1F3864" w:themeColor="accent5" w:themeShade="80"/>
          <w:sz w:val="24"/>
          <w:szCs w:val="24"/>
        </w:rPr>
        <w:t xml:space="preserve"> Huang</w:t>
      </w:r>
    </w:p>
    <w:p w14:paraId="698875EE" w14:textId="60A8447D" w:rsidR="00637F50" w:rsidRPr="0074385A" w:rsidRDefault="00455693" w:rsidP="00E37220">
      <w:pPr>
        <w:outlineLvl w:val="0"/>
        <w:rPr>
          <w:b/>
          <w:bCs/>
          <w:color w:val="1F3864" w:themeColor="accent5" w:themeShade="80"/>
          <w:sz w:val="24"/>
          <w:szCs w:val="24"/>
        </w:rPr>
      </w:pPr>
      <w:r w:rsidRPr="0074385A">
        <w:rPr>
          <w:b/>
          <w:bCs/>
          <w:color w:val="1F3864" w:themeColor="accent5" w:themeShade="80"/>
          <w:sz w:val="24"/>
          <w:szCs w:val="24"/>
        </w:rPr>
        <w:t xml:space="preserve">Senior Analyst: </w:t>
      </w:r>
      <w:r w:rsidR="007B4D24">
        <w:rPr>
          <w:b/>
          <w:bCs/>
          <w:color w:val="1F3864" w:themeColor="accent5" w:themeShade="80"/>
          <w:sz w:val="24"/>
          <w:szCs w:val="24"/>
        </w:rPr>
        <w:t>Megan Peters</w:t>
      </w:r>
      <w:r w:rsidR="00752127">
        <w:rPr>
          <w:b/>
          <w:bCs/>
          <w:color w:val="1F3864" w:themeColor="accent5" w:themeShade="80"/>
          <w:sz w:val="24"/>
          <w:szCs w:val="24"/>
        </w:rPr>
        <w:t>o</w:t>
      </w:r>
      <w:r w:rsidR="007B4D24">
        <w:rPr>
          <w:b/>
          <w:bCs/>
          <w:color w:val="1F3864" w:themeColor="accent5" w:themeShade="80"/>
          <w:sz w:val="24"/>
          <w:szCs w:val="24"/>
        </w:rPr>
        <w:t>n</w:t>
      </w:r>
    </w:p>
    <w:p w14:paraId="51006501" w14:textId="4ECEECE3" w:rsidR="00455693" w:rsidRPr="0074385A" w:rsidRDefault="00455693" w:rsidP="00E37220">
      <w:pPr>
        <w:outlineLvl w:val="0"/>
        <w:rPr>
          <w:b/>
          <w:bCs/>
          <w:color w:val="1F3864" w:themeColor="accent5" w:themeShade="80"/>
          <w:sz w:val="24"/>
          <w:szCs w:val="24"/>
        </w:rPr>
      </w:pPr>
      <w:r w:rsidRPr="0074385A">
        <w:rPr>
          <w:b/>
          <w:bCs/>
          <w:color w:val="1F3864" w:themeColor="accent5" w:themeShade="80"/>
          <w:sz w:val="24"/>
          <w:szCs w:val="24"/>
        </w:rPr>
        <w:t xml:space="preserve">Ticker: </w:t>
      </w:r>
      <w:r w:rsidR="007B4D24">
        <w:rPr>
          <w:b/>
          <w:bCs/>
          <w:color w:val="1F3864" w:themeColor="accent5" w:themeShade="80"/>
          <w:sz w:val="24"/>
          <w:szCs w:val="24"/>
        </w:rPr>
        <w:t>MS</w:t>
      </w:r>
    </w:p>
    <w:p w14:paraId="6E915B6A" w14:textId="7C03CBC3" w:rsidR="00455693" w:rsidRPr="0074385A" w:rsidRDefault="0074385A" w:rsidP="00E37220">
      <w:pPr>
        <w:outlineLvl w:val="0"/>
        <w:rPr>
          <w:b/>
          <w:bCs/>
          <w:color w:val="1F3864" w:themeColor="accent5" w:themeShade="80"/>
          <w:sz w:val="24"/>
          <w:szCs w:val="24"/>
        </w:rPr>
      </w:pPr>
      <w:r>
        <w:rPr>
          <w:b/>
          <w:bCs/>
          <w:noProof/>
          <w:color w:val="5B9BD5" w:themeColor="accent1"/>
          <w:sz w:val="32"/>
          <w:szCs w:val="32"/>
        </w:rPr>
        <mc:AlternateContent>
          <mc:Choice Requires="wps">
            <w:drawing>
              <wp:anchor distT="0" distB="0" distL="114300" distR="114300" simplePos="0" relativeHeight="251658241" behindDoc="0" locked="0" layoutInCell="1" allowOverlap="1" wp14:anchorId="62B5E935" wp14:editId="558D566B">
                <wp:simplePos x="0" y="0"/>
                <wp:positionH relativeFrom="column">
                  <wp:posOffset>33583</wp:posOffset>
                </wp:positionH>
                <wp:positionV relativeFrom="paragraph">
                  <wp:posOffset>239797</wp:posOffset>
                </wp:positionV>
                <wp:extent cx="5969000" cy="82550"/>
                <wp:effectExtent l="0" t="0" r="0" b="0"/>
                <wp:wrapNone/>
                <wp:docPr id="7" name="Rectangle 7"/>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C7304C8" id="Rectangle 7" o:spid="_x0000_s1026" style="position:absolute;margin-left:2.65pt;margin-top:18.9pt;width:470pt;height: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" fillcolor="#ffc000" stroked="f" strokeweight="1pt"/>
            </w:pict>
          </mc:Fallback>
        </mc:AlternateContent>
      </w:r>
      <w:r w:rsidR="00455693" w:rsidRPr="0074385A">
        <w:rPr>
          <w:b/>
          <w:bCs/>
          <w:color w:val="1F3864" w:themeColor="accent5" w:themeShade="80"/>
          <w:sz w:val="24"/>
          <w:szCs w:val="24"/>
        </w:rPr>
        <w:t xml:space="preserve">Current Stock Price: </w:t>
      </w:r>
      <w:r w:rsidR="007B4D24">
        <w:rPr>
          <w:b/>
          <w:bCs/>
          <w:color w:val="1F3864" w:themeColor="accent5" w:themeShade="80"/>
          <w:sz w:val="24"/>
          <w:szCs w:val="24"/>
        </w:rPr>
        <w:t>51.87</w:t>
      </w:r>
    </w:p>
    <w:p w14:paraId="53C48948" w14:textId="2131ED13" w:rsidR="00E16DE9" w:rsidRDefault="004813CA" w:rsidP="0074385A">
      <w:pPr>
        <w:rPr>
          <w:b/>
          <w:bCs/>
          <w:color w:val="1F4E79" w:themeColor="accent1" w:themeShade="80"/>
          <w:sz w:val="32"/>
          <w:szCs w:val="32"/>
        </w:rPr>
      </w:pPr>
      <w:r w:rsidRPr="004813CA">
        <w:rPr>
          <w:b/>
          <w:bCs/>
          <w:color w:val="1F3864" w:themeColor="accent5" w:themeShade="80"/>
          <w:sz w:val="36"/>
          <w:szCs w:val="36"/>
        </w:rPr>
        <w:t xml:space="preserve">Introduction: </w:t>
      </w:r>
      <w:r w:rsidR="00F02BBB" w:rsidRPr="004813CA">
        <w:rPr>
          <w:b/>
          <w:bCs/>
          <w:color w:val="1F3864" w:themeColor="accent5" w:themeShade="80"/>
          <w:sz w:val="36"/>
          <w:szCs w:val="36"/>
        </w:rPr>
        <w:t xml:space="preserve">    </w:t>
      </w:r>
    </w:p>
    <w:p w14:paraId="71BE33B5" w14:textId="162461D7" w:rsidR="00EB554D" w:rsidRDefault="00EB554D" w:rsidP="00EB554D">
      <w:r>
        <w:rPr>
          <w:b/>
          <w:bCs/>
          <w:noProof/>
          <w:color w:val="5B9BD5" w:themeColor="accent1"/>
          <w:sz w:val="32"/>
          <w:szCs w:val="32"/>
        </w:rPr>
        <mc:AlternateContent>
          <mc:Choice Requires="wps">
            <w:drawing>
              <wp:anchor distT="0" distB="0" distL="114300" distR="114300" simplePos="0" relativeHeight="251658244" behindDoc="0" locked="0" layoutInCell="1" allowOverlap="1" wp14:anchorId="7F5A44BB" wp14:editId="4CA0AE1E">
                <wp:simplePos x="0" y="0"/>
                <wp:positionH relativeFrom="column">
                  <wp:posOffset>-40005</wp:posOffset>
                </wp:positionH>
                <wp:positionV relativeFrom="paragraph">
                  <wp:posOffset>2251075</wp:posOffset>
                </wp:positionV>
                <wp:extent cx="5969000" cy="82550"/>
                <wp:effectExtent l="0" t="0" r="0" b="8890"/>
                <wp:wrapNone/>
                <wp:docPr id="10" name="Rectangle 10"/>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2157C" id="Rectangle 10" o:spid="_x0000_s1026" style="position:absolute;margin-left:-3.15pt;margin-top:177.25pt;width:470pt;height: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" fillcolor="#ffc000" stroked="f" strokeweight="1pt"/>
            </w:pict>
          </mc:Fallback>
        </mc:AlternateContent>
      </w:r>
      <w:r w:rsidRPr="000959E0">
        <w:t>Morgan Stanley operates as a global financial services company. The firm provides investment banking products and services to its clients and customers including corporations, governments, financial institutions, and individuals. It operates through the following business segments: Institutional Securities, Wealth Management, and Investment Management. The Institutional Services segment provides financial advisory, capital-raising services, and related financing services on behalf of institutional investors. The Wealth Management segment offers brokerage and investment advisory services covering various types of investments, including equities, options, futures, foreign currencies, precious metals, fixed-income securities, mutual funds, structured products, alternative investments, unit investment trusts, managed futures, separately managed accounts, and mutual fund asset allocation programs. The Investment Management segment provides equity, fixed income, alternative investments, real estate, and merchant banking strategies. The company was founded by Harold Stanley and Henry S. Morgan on September 16, 1935 and is headquartered in New York, NY.</w:t>
      </w:r>
    </w:p>
    <w:p w14:paraId="07E800EF" w14:textId="0ECBFCEB" w:rsidR="00761062" w:rsidRPr="00D74C92" w:rsidRDefault="00DD4D8C" w:rsidP="00E37220">
      <w:pPr>
        <w:outlineLvl w:val="0"/>
        <w:rPr>
          <w:b/>
          <w:bCs/>
          <w:color w:val="1F3864" w:themeColor="accent5" w:themeShade="80"/>
          <w:sz w:val="36"/>
          <w:szCs w:val="36"/>
        </w:rPr>
      </w:pPr>
      <w:r>
        <w:rPr>
          <w:noProof/>
        </w:rPr>
        <w:drawing>
          <wp:anchor distT="0" distB="0" distL="114300" distR="114300" simplePos="0" relativeHeight="251658245" behindDoc="1" locked="0" layoutInCell="1" allowOverlap="1" wp14:anchorId="72D91F68" wp14:editId="373900CD">
            <wp:simplePos x="0" y="0"/>
            <wp:positionH relativeFrom="margin">
              <wp:posOffset>161925</wp:posOffset>
            </wp:positionH>
            <wp:positionV relativeFrom="paragraph">
              <wp:posOffset>320675</wp:posOffset>
            </wp:positionV>
            <wp:extent cx="2667000" cy="1601470"/>
            <wp:effectExtent l="0" t="0" r="0" b="0"/>
            <wp:wrapTight wrapText="bothSides">
              <wp:wrapPolygon edited="0">
                <wp:start x="0" y="0"/>
                <wp:lineTo x="0" y="21326"/>
                <wp:lineTo x="21446" y="21326"/>
                <wp:lineTo x="214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1601470"/>
                    </a:xfrm>
                    <a:prstGeom prst="rect">
                      <a:avLst/>
                    </a:prstGeom>
                  </pic:spPr>
                </pic:pic>
              </a:graphicData>
            </a:graphic>
            <wp14:sizeRelH relativeFrom="margin">
              <wp14:pctWidth>0</wp14:pctWidth>
            </wp14:sizeRelH>
            <wp14:sizeRelV relativeFrom="margin">
              <wp14:pctHeight>0</wp14:pctHeight>
            </wp14:sizeRelV>
          </wp:anchor>
        </w:drawing>
      </w:r>
      <w:r w:rsidR="005415F6">
        <w:rPr>
          <w:noProof/>
        </w:rPr>
        <w:drawing>
          <wp:anchor distT="0" distB="0" distL="114300" distR="114300" simplePos="0" relativeHeight="251658253" behindDoc="0" locked="0" layoutInCell="1" allowOverlap="1" wp14:anchorId="6FD82D99" wp14:editId="42B27679">
            <wp:simplePos x="0" y="0"/>
            <wp:positionH relativeFrom="column">
              <wp:posOffset>3286125</wp:posOffset>
            </wp:positionH>
            <wp:positionV relativeFrom="paragraph">
              <wp:posOffset>282575</wp:posOffset>
            </wp:positionV>
            <wp:extent cx="2819400" cy="16173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9400" cy="1617345"/>
                    </a:xfrm>
                    <a:prstGeom prst="rect">
                      <a:avLst/>
                    </a:prstGeom>
                  </pic:spPr>
                </pic:pic>
              </a:graphicData>
            </a:graphic>
            <wp14:sizeRelH relativeFrom="page">
              <wp14:pctWidth>0</wp14:pctWidth>
            </wp14:sizeRelH>
            <wp14:sizeRelV relativeFrom="page">
              <wp14:pctHeight>0</wp14:pctHeight>
            </wp14:sizeRelV>
          </wp:anchor>
        </w:drawing>
      </w:r>
      <w:r w:rsidR="00E16DE9">
        <w:rPr>
          <w:b/>
          <w:bCs/>
          <w:color w:val="1F3864" w:themeColor="accent5" w:themeShade="80"/>
          <w:sz w:val="36"/>
          <w:szCs w:val="36"/>
        </w:rPr>
        <w:t xml:space="preserve"> </w:t>
      </w:r>
      <w:r w:rsidR="00F50039">
        <w:rPr>
          <w:b/>
          <w:bCs/>
          <w:color w:val="1F3864" w:themeColor="accent5" w:themeShade="80"/>
          <w:sz w:val="36"/>
          <w:szCs w:val="36"/>
        </w:rPr>
        <w:t>Revenue</w:t>
      </w:r>
      <w:r w:rsidR="00761062">
        <w:rPr>
          <w:b/>
          <w:bCs/>
          <w:color w:val="1F3864" w:themeColor="accent5" w:themeShade="80"/>
          <w:sz w:val="36"/>
          <w:szCs w:val="36"/>
        </w:rPr>
        <w:t>:</w:t>
      </w:r>
    </w:p>
    <w:p w14:paraId="4F06357A" w14:textId="276C6AEF" w:rsidR="00E02AC8" w:rsidRDefault="00D74C92">
      <w:r>
        <w:t xml:space="preserve">            </w:t>
      </w:r>
      <w:r w:rsidR="005C12A3">
        <w:t xml:space="preserve">   </w:t>
      </w:r>
    </w:p>
    <w:p w14:paraId="680032E3" w14:textId="5524CE76" w:rsidR="00E16DE9" w:rsidRDefault="00E16DE9"/>
    <w:p w14:paraId="0F5779A5" w14:textId="77777777" w:rsidR="00E16DE9" w:rsidRDefault="00E16DE9"/>
    <w:p w14:paraId="29E25B3A" w14:textId="77777777" w:rsidR="00E16DE9" w:rsidRDefault="00E16DE9"/>
    <w:p w14:paraId="6BD280F5" w14:textId="77777777" w:rsidR="00E16DE9" w:rsidRDefault="00E16DE9"/>
    <w:p w14:paraId="36EEE7B2" w14:textId="77777777" w:rsidR="00DE3BEE" w:rsidRDefault="00DE3BEE"/>
    <w:p w14:paraId="2A4012B7" w14:textId="7FF7D6DF" w:rsidR="00B67687" w:rsidRPr="000B1CDC" w:rsidRDefault="00B67687" w:rsidP="00B67687">
      <w:pPr>
        <w:rPr>
          <w:rFonts w:ascii="Calibri" w:hAnsi="Calibri" w:cs="Calibri"/>
        </w:rPr>
      </w:pPr>
      <w:r w:rsidRPr="000B1CDC">
        <w:rPr>
          <w:rFonts w:ascii="Calibri" w:hAnsi="Calibri" w:cs="Calibri"/>
        </w:rPr>
        <w:t xml:space="preserve">From segment graph, it shows that Morgan Stanley separate their </w:t>
      </w:r>
      <w:r w:rsidR="00575579">
        <w:rPr>
          <w:rFonts w:ascii="Calibri" w:hAnsi="Calibri" w:cs="Calibri"/>
        </w:rPr>
        <w:t>revenue into three main parts</w:t>
      </w:r>
      <w:r w:rsidRPr="000B1CDC">
        <w:rPr>
          <w:rFonts w:ascii="Calibri" w:hAnsi="Calibri" w:cs="Calibri"/>
        </w:rPr>
        <w:t>. Institutional securities</w:t>
      </w:r>
      <w:r w:rsidR="006E6D00">
        <w:rPr>
          <w:rFonts w:ascii="Calibri" w:hAnsi="Calibri" w:cs="Calibri"/>
        </w:rPr>
        <w:t xml:space="preserve"> segment</w:t>
      </w:r>
      <w:r w:rsidRPr="000B1CDC">
        <w:rPr>
          <w:rFonts w:ascii="Calibri" w:hAnsi="Calibri" w:cs="Calibri"/>
        </w:rPr>
        <w:t xml:space="preserve"> play</w:t>
      </w:r>
      <w:r w:rsidR="00575579">
        <w:rPr>
          <w:rFonts w:ascii="Calibri" w:hAnsi="Calibri" w:cs="Calibri"/>
        </w:rPr>
        <w:t>s</w:t>
      </w:r>
      <w:r w:rsidRPr="000B1CDC">
        <w:rPr>
          <w:rFonts w:ascii="Calibri" w:hAnsi="Calibri" w:cs="Calibri"/>
        </w:rPr>
        <w:t xml:space="preserve"> a large part of Morgan Stanley’s services, which provides most banks functions. This segment grew from 15,332 million to 18,944 million by 23.6%. However, other two segments have been affected by </w:t>
      </w:r>
      <w:r w:rsidR="00575579">
        <w:rPr>
          <w:rFonts w:ascii="Calibri" w:hAnsi="Calibri" w:cs="Calibri"/>
        </w:rPr>
        <w:t>the</w:t>
      </w:r>
      <w:r w:rsidRPr="000B1CDC">
        <w:rPr>
          <w:rFonts w:ascii="Calibri" w:hAnsi="Calibri" w:cs="Calibri"/>
        </w:rPr>
        <w:t xml:space="preserve"> coronavirus. The wealth management</w:t>
      </w:r>
      <w:r w:rsidR="0032606C">
        <w:rPr>
          <w:rFonts w:ascii="Calibri" w:hAnsi="Calibri" w:cs="Calibri"/>
        </w:rPr>
        <w:t xml:space="preserve"> segment</w:t>
      </w:r>
      <w:r w:rsidRPr="000B1CDC">
        <w:rPr>
          <w:rFonts w:ascii="Calibri" w:hAnsi="Calibri" w:cs="Calibri"/>
        </w:rPr>
        <w:t xml:space="preserve"> has decreased by 29% and the investment management has dropped about 19% from 2019. Also, total revenues include capital market earning and common stock repurchases, which both have increased about 1%.  </w:t>
      </w:r>
      <w:r>
        <w:rPr>
          <w:rFonts w:ascii="Calibri" w:hAnsi="Calibri" w:cs="Calibri"/>
        </w:rPr>
        <w:t xml:space="preserve">Although financial sector of the market was affected this year, but the highlight of Morgan Stanley </w:t>
      </w:r>
      <w:r w:rsidR="0032606C">
        <w:rPr>
          <w:rFonts w:ascii="Calibri" w:hAnsi="Calibri" w:cs="Calibri"/>
        </w:rPr>
        <w:t>proves that they remain in a better position</w:t>
      </w:r>
      <w:r>
        <w:rPr>
          <w:rFonts w:ascii="Calibri" w:hAnsi="Calibri" w:cs="Calibri"/>
        </w:rPr>
        <w:t xml:space="preserve">. </w:t>
      </w:r>
      <w:r w:rsidRPr="000B1CDC">
        <w:rPr>
          <w:rFonts w:ascii="Calibri" w:hAnsi="Calibri" w:cs="Calibri"/>
        </w:rPr>
        <w:t>Firm net revenues up 16% and net income up 25%, reflecting</w:t>
      </w:r>
      <w:r>
        <w:rPr>
          <w:rFonts w:ascii="Calibri" w:hAnsi="Calibri" w:cs="Calibri"/>
        </w:rPr>
        <w:t xml:space="preserve"> </w:t>
      </w:r>
      <w:r w:rsidRPr="000B1CDC">
        <w:rPr>
          <w:rFonts w:ascii="Calibri" w:hAnsi="Calibri" w:cs="Calibri"/>
        </w:rPr>
        <w:t xml:space="preserve">strength </w:t>
      </w:r>
      <w:r w:rsidRPr="000B1CDC">
        <w:rPr>
          <w:rFonts w:ascii="Calibri" w:hAnsi="Calibri" w:cs="Calibri"/>
        </w:rPr>
        <w:lastRenderedPageBreak/>
        <w:t>across all business segments.</w:t>
      </w:r>
      <w:r>
        <w:rPr>
          <w:rFonts w:ascii="Calibri" w:hAnsi="Calibri" w:cs="Calibri"/>
        </w:rPr>
        <w:t xml:space="preserve"> </w:t>
      </w:r>
      <w:r w:rsidRPr="006052C8">
        <w:rPr>
          <w:rFonts w:ascii="Calibri" w:hAnsi="Calibri" w:cs="Calibri"/>
        </w:rPr>
        <w:t>Institutional Securities net revenues reflect strong</w:t>
      </w:r>
      <w:r>
        <w:rPr>
          <w:rFonts w:ascii="Calibri" w:hAnsi="Calibri" w:cs="Calibri"/>
        </w:rPr>
        <w:t xml:space="preserve"> </w:t>
      </w:r>
      <w:r w:rsidRPr="006052C8">
        <w:rPr>
          <w:rFonts w:ascii="Calibri" w:hAnsi="Calibri" w:cs="Calibri"/>
        </w:rPr>
        <w:t>performance across all businesses with higher results in</w:t>
      </w:r>
      <w:r>
        <w:rPr>
          <w:rFonts w:ascii="Calibri" w:hAnsi="Calibri" w:cs="Calibri"/>
        </w:rPr>
        <w:t xml:space="preserve"> </w:t>
      </w:r>
      <w:r w:rsidRPr="006052C8">
        <w:rPr>
          <w:rFonts w:ascii="Calibri" w:hAnsi="Calibri" w:cs="Calibri"/>
        </w:rPr>
        <w:t>sales</w:t>
      </w:r>
      <w:r w:rsidR="0032606C">
        <w:rPr>
          <w:rFonts w:ascii="Calibri" w:hAnsi="Calibri" w:cs="Calibri"/>
        </w:rPr>
        <w:t xml:space="preserve">, </w:t>
      </w:r>
      <w:proofErr w:type="gramStart"/>
      <w:r w:rsidRPr="006052C8">
        <w:rPr>
          <w:rFonts w:ascii="Calibri" w:hAnsi="Calibri" w:cs="Calibri"/>
        </w:rPr>
        <w:t>trading</w:t>
      </w:r>
      <w:proofErr w:type="gramEnd"/>
      <w:r w:rsidRPr="006052C8">
        <w:rPr>
          <w:rFonts w:ascii="Calibri" w:hAnsi="Calibri" w:cs="Calibri"/>
        </w:rPr>
        <w:t xml:space="preserve"> and strength in equity underwriting.</w:t>
      </w:r>
    </w:p>
    <w:p w14:paraId="7D4014BF" w14:textId="7A3ADB90" w:rsidR="00D41DA7" w:rsidRPr="002A32EF" w:rsidRDefault="002A32EF" w:rsidP="00E37220">
      <w:pPr>
        <w:spacing w:line="240" w:lineRule="auto"/>
        <w:outlineLvl w:val="0"/>
        <w:rPr>
          <w:b/>
          <w:bCs/>
          <w:color w:val="1F3864" w:themeColor="accent5" w:themeShade="80"/>
          <w:sz w:val="36"/>
          <w:szCs w:val="36"/>
        </w:rPr>
      </w:pPr>
      <w:r>
        <w:rPr>
          <w:b/>
          <w:bCs/>
          <w:noProof/>
          <w:color w:val="5B9BD5" w:themeColor="accent1"/>
          <w:sz w:val="32"/>
          <w:szCs w:val="32"/>
        </w:rPr>
        <mc:AlternateContent>
          <mc:Choice Requires="wps">
            <w:drawing>
              <wp:anchor distT="0" distB="0" distL="114300" distR="114300" simplePos="0" relativeHeight="251658258" behindDoc="0" locked="0" layoutInCell="1" allowOverlap="1" wp14:anchorId="2E01F9C5" wp14:editId="59E4D820">
                <wp:simplePos x="0" y="0"/>
                <wp:positionH relativeFrom="margin">
                  <wp:align>left</wp:align>
                </wp:positionH>
                <wp:positionV relativeFrom="paragraph">
                  <wp:posOffset>-64296</wp:posOffset>
                </wp:positionV>
                <wp:extent cx="5969000" cy="82550"/>
                <wp:effectExtent l="0" t="0" r="0" b="0"/>
                <wp:wrapNone/>
                <wp:docPr id="40" name="Rectangle 40"/>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88BDE5B" id="Rectangle 40" o:spid="_x0000_s1026" style="position:absolute;margin-left:0;margin-top:-5.05pt;width:470pt;height:6.5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" fillcolor="#ffc000" stroked="f" strokeweight="1pt">
                <w10:wrap anchorx="margin"/>
              </v:rect>
            </w:pict>
          </mc:Fallback>
        </mc:AlternateContent>
      </w:r>
      <w:r>
        <w:rPr>
          <w:b/>
          <w:bCs/>
          <w:color w:val="1F3864" w:themeColor="accent5" w:themeShade="80"/>
          <w:sz w:val="36"/>
          <w:szCs w:val="36"/>
        </w:rPr>
        <w:t xml:space="preserve"> </w:t>
      </w:r>
      <w:r w:rsidR="00D41DA7" w:rsidRPr="0027420D">
        <w:rPr>
          <w:b/>
          <w:bCs/>
          <w:color w:val="1F3864" w:themeColor="accent5" w:themeShade="80"/>
          <w:sz w:val="36"/>
          <w:szCs w:val="36"/>
        </w:rPr>
        <w:t xml:space="preserve">Investment Thesis: </w:t>
      </w:r>
    </w:p>
    <w:p w14:paraId="3938E836" w14:textId="25A86CD5" w:rsidR="0014209B" w:rsidRPr="00C66294" w:rsidRDefault="00B67687" w:rsidP="00E37220">
      <w:pPr>
        <w:outlineLvl w:val="0"/>
        <w:rPr>
          <w:rFonts w:eastAsia="DengXian"/>
          <w:b/>
          <w:bCs/>
          <w:color w:val="2E74B5" w:themeColor="accent1" w:themeShade="BF"/>
          <w:sz w:val="24"/>
          <w:szCs w:val="24"/>
          <w:lang w:eastAsia="zh-CN"/>
        </w:rPr>
      </w:pPr>
      <w:r>
        <w:rPr>
          <w:b/>
          <w:bCs/>
          <w:color w:val="2E74B5" w:themeColor="accent1" w:themeShade="BF"/>
          <w:sz w:val="24"/>
          <w:szCs w:val="24"/>
        </w:rPr>
        <w:t xml:space="preserve">Reducing </w:t>
      </w:r>
      <w:r w:rsidR="0032606C">
        <w:rPr>
          <w:b/>
          <w:bCs/>
          <w:color w:val="2E74B5" w:themeColor="accent1" w:themeShade="BF"/>
          <w:sz w:val="24"/>
          <w:szCs w:val="24"/>
        </w:rPr>
        <w:t>COVID</w:t>
      </w:r>
      <w:r>
        <w:rPr>
          <w:b/>
          <w:bCs/>
          <w:color w:val="2E74B5" w:themeColor="accent1" w:themeShade="BF"/>
          <w:sz w:val="24"/>
          <w:szCs w:val="24"/>
        </w:rPr>
        <w:t xml:space="preserve"> effect</w:t>
      </w:r>
    </w:p>
    <w:p w14:paraId="281DFD24" w14:textId="4E60E3C8" w:rsidR="00C66294" w:rsidRDefault="00C66294" w:rsidP="00E37220">
      <w:pPr>
        <w:outlineLvl w:val="0"/>
      </w:pPr>
      <w:r w:rsidRPr="00C66294">
        <w:t xml:space="preserve">I would like to put this investment thesis: reducing the effect in the first place. The COVID-19 crisis is a first-order effect that is driving great uncertainty about the timing of an economic restart. To prevent the market from seizing, the Federal Reserve (the Fed) cut short-term rates, opened swap lines to help U.S. dollar-funding demands, and initiated several facilities to stabilize money market, commercial paper, and primary and secondary corporate credit markets. The underestimate of COVID-19 has influenced all the financial institutions like JPMorgan, Goldman </w:t>
      </w:r>
      <w:proofErr w:type="gramStart"/>
      <w:r w:rsidRPr="00C66294">
        <w:t>Sachs</w:t>
      </w:r>
      <w:proofErr w:type="gramEnd"/>
      <w:r w:rsidRPr="00C66294">
        <w:t xml:space="preserve"> and Bank of America. However, Morgan Stanley performed </w:t>
      </w:r>
      <w:proofErr w:type="gramStart"/>
      <w:r w:rsidRPr="00C66294">
        <w:t>really well</w:t>
      </w:r>
      <w:proofErr w:type="gramEnd"/>
      <w:r w:rsidRPr="00C66294">
        <w:t xml:space="preserve"> </w:t>
      </w:r>
      <w:r w:rsidR="0032606C">
        <w:t>in</w:t>
      </w:r>
      <w:r w:rsidRPr="00C66294">
        <w:t xml:space="preserve"> the third quarter after</w:t>
      </w:r>
      <w:r w:rsidR="0032606C">
        <w:t xml:space="preserve"> </w:t>
      </w:r>
      <w:r w:rsidRPr="00C66294">
        <w:t>COVID-19. The bank's renewed focus on the investment management segment and the securities trading business has been key to its outperformance this year. For the three months</w:t>
      </w:r>
      <w:r w:rsidR="0032606C">
        <w:t>,</w:t>
      </w:r>
      <w:r w:rsidRPr="00C66294">
        <w:t xml:space="preserve"> ended on Sept. 30, Morgan Stanley reported a 20% year-over-year increase in sales and trading revenue. The investment banking division reported sales growth of 11% in comparison to the corresponding period last year. This positive performance helped the bank grow its net income by over 53% in the third quarter. The acquisition of </w:t>
      </w:r>
      <w:proofErr w:type="spellStart"/>
      <w:r w:rsidRPr="00C66294">
        <w:t>E*Trade</w:t>
      </w:r>
      <w:proofErr w:type="spellEnd"/>
      <w:r w:rsidRPr="00C66294">
        <w:t xml:space="preserve"> played an important role in helping the bank generate record revenue from the sales and trading segment.</w:t>
      </w:r>
    </w:p>
    <w:p w14:paraId="6BB4FA74" w14:textId="731B799F" w:rsidR="00E20DBF" w:rsidRDefault="00C66159" w:rsidP="00E37220">
      <w:pPr>
        <w:outlineLvl w:val="0"/>
        <w:rPr>
          <w:b/>
          <w:bCs/>
          <w:color w:val="2E74B5" w:themeColor="accent1" w:themeShade="BF"/>
          <w:sz w:val="24"/>
          <w:szCs w:val="24"/>
        </w:rPr>
      </w:pPr>
      <w:r>
        <w:rPr>
          <w:b/>
          <w:bCs/>
          <w:color w:val="2E74B5" w:themeColor="accent1" w:themeShade="BF"/>
          <w:sz w:val="24"/>
          <w:szCs w:val="24"/>
        </w:rPr>
        <w:t xml:space="preserve">Looking into future </w:t>
      </w:r>
    </w:p>
    <w:p w14:paraId="6E304CF0" w14:textId="0394ADCB" w:rsidR="00C50F04" w:rsidRPr="00C50F04" w:rsidRDefault="00C50F04" w:rsidP="00C50F04">
      <w:pPr>
        <w:widowControl w:val="0"/>
        <w:contextualSpacing/>
        <w:jc w:val="both"/>
        <w:rPr>
          <w:rFonts w:ascii="Calibri" w:eastAsia="DengXian" w:hAnsi="Calibri" w:cs="Calibri"/>
          <w:lang w:eastAsia="zh-CN"/>
        </w:rPr>
      </w:pPr>
      <w:r w:rsidRPr="00C50F04">
        <w:rPr>
          <w:rFonts w:ascii="Calibri" w:eastAsia="DengXian" w:hAnsi="Calibri" w:cs="Calibri"/>
          <w:lang w:eastAsia="zh-CN"/>
        </w:rPr>
        <w:t xml:space="preserve">The merger between Morgan Stanley and E-Trade should be a big news beside the impact of the COVID-19. That means Morgan Stanley is looking forward into growth of young adult’s wealth manager and </w:t>
      </w:r>
      <w:r w:rsidR="0032606C">
        <w:rPr>
          <w:rFonts w:ascii="Calibri" w:eastAsia="DengXian" w:hAnsi="Calibri" w:cs="Calibri"/>
          <w:lang w:eastAsia="zh-CN"/>
        </w:rPr>
        <w:t xml:space="preserve">their </w:t>
      </w:r>
      <w:r w:rsidRPr="00C50F04">
        <w:rPr>
          <w:rFonts w:ascii="Calibri" w:eastAsia="DengXian" w:hAnsi="Calibri" w:cs="Calibri"/>
          <w:lang w:eastAsia="zh-CN"/>
        </w:rPr>
        <w:t xml:space="preserve">investment choice. Morgan Stanley knows, as the society is moving more faster than ever into digital. Morgan Stanley also knows that young people "only want to interact with the bank digitally," said Brian </w:t>
      </w:r>
      <w:proofErr w:type="spellStart"/>
      <w:r w:rsidRPr="00C50F04">
        <w:rPr>
          <w:rFonts w:ascii="Calibri" w:eastAsia="DengXian" w:hAnsi="Calibri" w:cs="Calibri"/>
          <w:lang w:eastAsia="zh-CN"/>
        </w:rPr>
        <w:t>Chappatta</w:t>
      </w:r>
      <w:proofErr w:type="spellEnd"/>
      <w:r w:rsidRPr="00C50F04">
        <w:rPr>
          <w:rFonts w:ascii="Calibri" w:eastAsia="DengXian" w:hAnsi="Calibri" w:cs="Calibri"/>
          <w:lang w:eastAsia="zh-CN"/>
        </w:rPr>
        <w:t xml:space="preserve"> at ­Bloomberg​. E-Trade gives Morgan access to digital natives and their "emerging wealth." Get them into the fold early and </w:t>
      </w:r>
      <w:proofErr w:type="gramStart"/>
      <w:r w:rsidRPr="00C50F04">
        <w:rPr>
          <w:rFonts w:ascii="Calibri" w:eastAsia="DengXian" w:hAnsi="Calibri" w:cs="Calibri"/>
          <w:lang w:eastAsia="zh-CN"/>
        </w:rPr>
        <w:t>they'll</w:t>
      </w:r>
      <w:proofErr w:type="gramEnd"/>
      <w:r w:rsidRPr="00C50F04">
        <w:rPr>
          <w:rFonts w:ascii="Calibri" w:eastAsia="DengXian" w:hAnsi="Calibri" w:cs="Calibri"/>
          <w:lang w:eastAsia="zh-CN"/>
        </w:rPr>
        <w:t xml:space="preserve"> be more likely to eventually "move over to the bank's existing wealth-management offerings once they accumulate more money and need a robust financial plan." In addition, Visa, Mastercard and </w:t>
      </w:r>
      <w:proofErr w:type="spellStart"/>
      <w:r w:rsidRPr="00C50F04">
        <w:rPr>
          <w:rFonts w:ascii="Calibri" w:eastAsia="DengXian" w:hAnsi="Calibri" w:cs="Calibri"/>
          <w:lang w:eastAsia="zh-CN"/>
        </w:rPr>
        <w:t>Paypal</w:t>
      </w:r>
      <w:proofErr w:type="spellEnd"/>
      <w:r w:rsidRPr="00C50F04">
        <w:rPr>
          <w:rFonts w:ascii="Calibri" w:eastAsia="DengXian" w:hAnsi="Calibri" w:cs="Calibri"/>
          <w:lang w:eastAsia="zh-CN"/>
        </w:rPr>
        <w:t xml:space="preserve"> is going more popular than ever, along with other mobile payment with the situation of COVID-19. </w:t>
      </w:r>
    </w:p>
    <w:p w14:paraId="4E04932A" w14:textId="31ABA021" w:rsidR="00C50F04" w:rsidRDefault="00C50F04" w:rsidP="00C50F04">
      <w:pPr>
        <w:widowControl w:val="0"/>
        <w:contextualSpacing/>
        <w:jc w:val="both"/>
        <w:rPr>
          <w:rFonts w:ascii="Calibri" w:eastAsia="DengXian" w:hAnsi="Calibri" w:cs="Calibri"/>
          <w:lang w:eastAsia="zh-CN"/>
        </w:rPr>
      </w:pPr>
      <w:r w:rsidRPr="00C50F04">
        <w:rPr>
          <w:rFonts w:ascii="Calibri" w:eastAsia="DengXian" w:hAnsi="Calibri" w:cs="Calibri"/>
          <w:lang w:eastAsia="zh-CN"/>
        </w:rPr>
        <w:t xml:space="preserve">Using the Internet gives Morgan Stanley more advantages to offer their service. </w:t>
      </w:r>
      <w:proofErr w:type="gramStart"/>
      <w:r w:rsidR="0032606C">
        <w:rPr>
          <w:rFonts w:ascii="Calibri" w:eastAsia="DengXian" w:hAnsi="Calibri" w:cs="Calibri"/>
          <w:lang w:eastAsia="zh-CN"/>
        </w:rPr>
        <w:t>Therefore</w:t>
      </w:r>
      <w:proofErr w:type="gramEnd"/>
      <w:r w:rsidRPr="00C50F04">
        <w:rPr>
          <w:rFonts w:ascii="Calibri" w:eastAsia="DengXian" w:hAnsi="Calibri" w:cs="Calibri"/>
          <w:lang w:eastAsia="zh-CN"/>
        </w:rPr>
        <w:t xml:space="preserve"> the market </w:t>
      </w:r>
      <w:r w:rsidR="0032606C">
        <w:rPr>
          <w:rFonts w:ascii="Calibri" w:eastAsia="DengXian" w:hAnsi="Calibri" w:cs="Calibri"/>
          <w:lang w:eastAsia="zh-CN"/>
        </w:rPr>
        <w:t xml:space="preserve">has </w:t>
      </w:r>
      <w:r w:rsidRPr="00C50F04">
        <w:rPr>
          <w:rFonts w:ascii="Calibri" w:eastAsia="DengXian" w:hAnsi="Calibri" w:cs="Calibri"/>
          <w:lang w:eastAsia="zh-CN"/>
        </w:rPr>
        <w:t xml:space="preserve">more digital engagement, it's discount brokerages like E-Trade that killed brokerages' traditional source of revenue. But </w:t>
      </w:r>
      <w:proofErr w:type="gramStart"/>
      <w:r w:rsidRPr="00C50F04">
        <w:rPr>
          <w:rFonts w:ascii="Calibri" w:eastAsia="DengXian" w:hAnsi="Calibri" w:cs="Calibri"/>
          <w:lang w:eastAsia="zh-CN"/>
        </w:rPr>
        <w:t>it's</w:t>
      </w:r>
      <w:proofErr w:type="gramEnd"/>
      <w:r w:rsidRPr="00C50F04">
        <w:rPr>
          <w:rFonts w:ascii="Calibri" w:eastAsia="DengXian" w:hAnsi="Calibri" w:cs="Calibri"/>
          <w:lang w:eastAsia="zh-CN"/>
        </w:rPr>
        <w:t xml:space="preserve"> worth it for Morgan Stanley to steal the opportunity from Goldman Sachs.</w:t>
      </w:r>
    </w:p>
    <w:p w14:paraId="1E902930" w14:textId="77777777" w:rsidR="00C50F04" w:rsidRPr="00C50F04" w:rsidRDefault="00C50F04" w:rsidP="00C50F04">
      <w:pPr>
        <w:widowControl w:val="0"/>
        <w:contextualSpacing/>
        <w:jc w:val="both"/>
        <w:rPr>
          <w:rFonts w:ascii="Calibri" w:eastAsia="DengXian" w:hAnsi="Calibri" w:cs="Calibri"/>
          <w:lang w:eastAsia="zh-CN"/>
        </w:rPr>
      </w:pPr>
    </w:p>
    <w:p w14:paraId="2DBBCC4A" w14:textId="064A7FF4" w:rsidR="005429DB" w:rsidRDefault="00EC6B88" w:rsidP="00E37220">
      <w:pPr>
        <w:outlineLvl w:val="0"/>
        <w:rPr>
          <w:b/>
          <w:bCs/>
          <w:color w:val="2E74B5" w:themeColor="accent1" w:themeShade="BF"/>
          <w:sz w:val="24"/>
          <w:szCs w:val="24"/>
        </w:rPr>
      </w:pPr>
      <w:r>
        <w:rPr>
          <w:b/>
          <w:bCs/>
          <w:color w:val="2E74B5" w:themeColor="accent1" w:themeShade="BF"/>
          <w:sz w:val="24"/>
          <w:szCs w:val="24"/>
        </w:rPr>
        <w:t>Expanding new market</w:t>
      </w:r>
    </w:p>
    <w:p w14:paraId="0146940E" w14:textId="310ACFF0" w:rsidR="00EC6B88" w:rsidRPr="00EC6B88" w:rsidRDefault="00EC6B88" w:rsidP="00EC6B88">
      <w:pPr>
        <w:widowControl w:val="0"/>
        <w:contextualSpacing/>
        <w:jc w:val="both"/>
        <w:rPr>
          <w:rFonts w:ascii="Calibri" w:eastAsia="DengXian" w:hAnsi="Calibri" w:cs="Calibri"/>
          <w:lang w:eastAsia="zh-CN"/>
        </w:rPr>
      </w:pPr>
      <w:r w:rsidRPr="00EC6B88">
        <w:rPr>
          <w:rFonts w:ascii="Calibri" w:eastAsia="DengXian" w:hAnsi="Calibri" w:cs="Calibri"/>
          <w:lang w:eastAsia="zh-CN"/>
        </w:rPr>
        <w:t xml:space="preserve">The cooperation with Fintech IPO will give Morgan Stanley a chance to embrace a new market. As the situation of COVID-19 in China is being controlled, the financial services are </w:t>
      </w:r>
      <w:r w:rsidR="0032606C">
        <w:rPr>
          <w:rFonts w:ascii="Calibri" w:eastAsia="DengXian" w:hAnsi="Calibri" w:cs="Calibri"/>
          <w:lang w:eastAsia="zh-CN"/>
        </w:rPr>
        <w:t>growing healthy</w:t>
      </w:r>
      <w:r w:rsidRPr="00EC6B88">
        <w:rPr>
          <w:rFonts w:ascii="Calibri" w:eastAsia="DengXian" w:hAnsi="Calibri" w:cs="Calibri"/>
          <w:lang w:eastAsia="zh-CN"/>
        </w:rPr>
        <w:t xml:space="preserve"> in China. With the deal of Ant Group</w:t>
      </w:r>
      <w:r w:rsidR="0032606C">
        <w:rPr>
          <w:rFonts w:ascii="Calibri" w:eastAsia="DengXian" w:hAnsi="Calibri" w:cs="Calibri"/>
          <w:lang w:eastAsia="zh-CN"/>
        </w:rPr>
        <w:t>, they</w:t>
      </w:r>
      <w:r w:rsidRPr="00EC6B88">
        <w:rPr>
          <w:rFonts w:ascii="Calibri" w:eastAsia="DengXian" w:hAnsi="Calibri" w:cs="Calibri"/>
          <w:lang w:eastAsia="zh-CN"/>
        </w:rPr>
        <w:t xml:space="preserve"> will offer Morgan Stanley and other financial big firms a new way to have contact with costumers from a different market. “It is clear that almost all of the American bulge-bracket firms have ambitions to be leading Asian and Chinese investment banking businesses, using an industry term for top investment banks.” said Alexander Owen, senior research manager at consulting firm Coalition. In addition, with Chinese Fintech Alipay, Morgan Stanley can grow a better place in new Chinese </w:t>
      </w:r>
      <w:r w:rsidRPr="00EC6B88">
        <w:rPr>
          <w:rFonts w:ascii="Calibri" w:eastAsia="DengXian" w:hAnsi="Calibri" w:cs="Calibri"/>
          <w:lang w:eastAsia="zh-CN"/>
        </w:rPr>
        <w:lastRenderedPageBreak/>
        <w:t>young people’s wealth management market.</w:t>
      </w:r>
    </w:p>
    <w:p w14:paraId="78DEC0DF" w14:textId="1F320B4B" w:rsidR="00263155" w:rsidRPr="003C6317" w:rsidRDefault="00EC6B88" w:rsidP="005429DB">
      <w:r>
        <w:rPr>
          <w:b/>
          <w:bCs/>
          <w:noProof/>
          <w:color w:val="5B9BD5" w:themeColor="accent1"/>
          <w:sz w:val="32"/>
          <w:szCs w:val="32"/>
        </w:rPr>
        <mc:AlternateContent>
          <mc:Choice Requires="wps">
            <w:drawing>
              <wp:anchor distT="0" distB="0" distL="114300" distR="114300" simplePos="0" relativeHeight="251658242" behindDoc="0" locked="0" layoutInCell="1" allowOverlap="1" wp14:anchorId="501F045C" wp14:editId="4F5D20C8">
                <wp:simplePos x="0" y="0"/>
                <wp:positionH relativeFrom="margin">
                  <wp:align>left</wp:align>
                </wp:positionH>
                <wp:positionV relativeFrom="paragraph">
                  <wp:posOffset>103505</wp:posOffset>
                </wp:positionV>
                <wp:extent cx="5969000" cy="82550"/>
                <wp:effectExtent l="0" t="0" r="0" b="0"/>
                <wp:wrapNone/>
                <wp:docPr id="5" name="Rectangle 5"/>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12EDB" id="Rectangle 5" o:spid="_x0000_s1026" style="position:absolute;margin-left:0;margin-top:8.15pt;width:470pt;height:6.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" fillcolor="#ffc000" stroked="f" strokeweight="1pt">
                <w10:wrap anchorx="margin"/>
              </v:rect>
            </w:pict>
          </mc:Fallback>
        </mc:AlternateContent>
      </w:r>
    </w:p>
    <w:p w14:paraId="3648E49B" w14:textId="1E20272D" w:rsidR="00E22247" w:rsidRPr="007269F6" w:rsidRDefault="00A17783" w:rsidP="0027420D">
      <w:pPr>
        <w:rPr>
          <w:b/>
          <w:bCs/>
          <w:color w:val="1F3864" w:themeColor="accent5" w:themeShade="80"/>
          <w:sz w:val="36"/>
          <w:szCs w:val="36"/>
        </w:rPr>
      </w:pPr>
      <w:r>
        <w:rPr>
          <w:b/>
          <w:bCs/>
          <w:color w:val="1F3864" w:themeColor="accent5" w:themeShade="80"/>
          <w:sz w:val="36"/>
          <w:szCs w:val="36"/>
        </w:rPr>
        <w:t xml:space="preserve">Valuation: </w:t>
      </w:r>
    </w:p>
    <w:p w14:paraId="5106CB02" w14:textId="56DF64CC" w:rsidR="00BC1F60" w:rsidRDefault="00974118" w:rsidP="00E37220">
      <w:pPr>
        <w:outlineLvl w:val="0"/>
      </w:pPr>
      <w:r w:rsidRPr="00BD0D87">
        <w:rPr>
          <w:b/>
          <w:bCs/>
          <w:color w:val="2E74B5" w:themeColor="accent1" w:themeShade="BF"/>
          <w:sz w:val="24"/>
          <w:szCs w:val="24"/>
        </w:rPr>
        <w:t>Dividend Discount Model</w:t>
      </w:r>
    </w:p>
    <w:p w14:paraId="6908C326" w14:textId="77777777" w:rsidR="00AA5371" w:rsidRPr="00AA5371" w:rsidRDefault="00AA5371" w:rsidP="00AA5371">
      <w:pPr>
        <w:widowControl w:val="0"/>
        <w:jc w:val="both"/>
        <w:rPr>
          <w:rFonts w:ascii="Calibri" w:eastAsia="DengXian" w:hAnsi="Calibri" w:cs="Calibri"/>
          <w:lang w:eastAsia="zh-CN"/>
        </w:rPr>
      </w:pPr>
      <w:proofErr w:type="gramStart"/>
      <w:r w:rsidRPr="00AA5371">
        <w:rPr>
          <w:rFonts w:ascii="Calibri" w:eastAsia="DengXian" w:hAnsi="Calibri" w:cs="Calibri"/>
          <w:lang w:eastAsia="zh-CN"/>
        </w:rPr>
        <w:t>In order to</w:t>
      </w:r>
      <w:proofErr w:type="gramEnd"/>
      <w:r w:rsidRPr="00AA5371">
        <w:rPr>
          <w:rFonts w:ascii="Calibri" w:eastAsia="DengXian" w:hAnsi="Calibri" w:cs="Calibri"/>
          <w:lang w:eastAsia="zh-CN"/>
        </w:rPr>
        <w:t xml:space="preserve"> make a valuation of Morgan Stanley, we would like to first determine Morgan Stanley’s dividend growth trend in the future. From calculation, we could see that Morgan Stanley has an average yearly dividend growth of 19.2% since 2016. Given that information, we could see that Morgan Stanley is being healthy and growing at a good pace. It is a good way to determine the current stock value.</w:t>
      </w:r>
    </w:p>
    <w:p w14:paraId="10338138" w14:textId="41BA5734" w:rsidR="00AA5371" w:rsidRPr="00AA5371" w:rsidRDefault="00AA5371" w:rsidP="00AA5371">
      <w:pPr>
        <w:widowControl w:val="0"/>
        <w:jc w:val="both"/>
        <w:rPr>
          <w:rFonts w:ascii="Calibri" w:eastAsia="DengXian" w:hAnsi="Calibri" w:cs="Calibri"/>
          <w:lang w:eastAsia="zh-CN"/>
        </w:rPr>
      </w:pPr>
      <w:r w:rsidRPr="00AA5371">
        <w:rPr>
          <w:rFonts w:ascii="Calibri" w:eastAsia="DengXian" w:hAnsi="Calibri" w:cs="Calibri"/>
          <w:lang w:eastAsia="zh-CN"/>
        </w:rPr>
        <w:t xml:space="preserve">We would like to see </w:t>
      </w:r>
      <w:r w:rsidR="0032606C">
        <w:rPr>
          <w:rFonts w:ascii="Calibri" w:eastAsia="DengXian" w:hAnsi="Calibri" w:cs="Calibri"/>
          <w:lang w:eastAsia="zh-CN"/>
        </w:rPr>
        <w:t>where</w:t>
      </w:r>
      <w:r w:rsidRPr="00AA5371">
        <w:rPr>
          <w:rFonts w:ascii="Calibri" w:eastAsia="DengXian" w:hAnsi="Calibri" w:cs="Calibri"/>
          <w:lang w:eastAsia="zh-CN"/>
        </w:rPr>
        <w:t xml:space="preserve"> Morgan Stanley goes in the future. We assumed that for the impact of COVID-19, the growth of 2021 and 2022 could be 5% for the finance recovering, a 15% growth rate for 2023 and 8% of a terminal rate. We can see the following dividends:</w:t>
      </w:r>
    </w:p>
    <w:p w14:paraId="1647FA55" w14:textId="20854A55" w:rsidR="00621EA8" w:rsidRPr="00E20DBF" w:rsidRDefault="00AA5371" w:rsidP="00684B15">
      <w:pPr>
        <w:jc w:val="center"/>
      </w:pPr>
      <w:r>
        <w:rPr>
          <w:noProof/>
        </w:rPr>
        <w:drawing>
          <wp:inline distT="0" distB="0" distL="0" distR="0" wp14:anchorId="348166A9" wp14:editId="78F1447C">
            <wp:extent cx="3905250" cy="1962150"/>
            <wp:effectExtent l="0" t="0" r="0" b="0"/>
            <wp:docPr id="12" name="Chart 12">
              <a:extLst xmlns:a="http://schemas.openxmlformats.org/drawingml/2006/main">
                <a:ext uri="{FF2B5EF4-FFF2-40B4-BE49-F238E27FC236}">
                  <a16:creationId xmlns:a16="http://schemas.microsoft.com/office/drawing/2014/main" id="{6933468A-F510-4707-8DCD-1EBF703CE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A842A6" w14:textId="21BED1AA" w:rsidR="00BA4531" w:rsidRDefault="00621EA8" w:rsidP="00A17783">
      <w:r>
        <w:t>Based on these growth rate</w:t>
      </w:r>
      <w:r w:rsidR="002615D2">
        <w:t xml:space="preserve"> estimates, </w:t>
      </w:r>
      <w:r w:rsidR="0083582C">
        <w:t xml:space="preserve">our model produced a price estimate of </w:t>
      </w:r>
      <w:r w:rsidR="008B15A9" w:rsidRPr="002F08C1">
        <w:rPr>
          <w:b/>
        </w:rPr>
        <w:t>$</w:t>
      </w:r>
      <w:r w:rsidR="00AD5BB9">
        <w:rPr>
          <w:b/>
        </w:rPr>
        <w:t>71.06</w:t>
      </w:r>
      <w:r w:rsidR="00A22B80">
        <w:t xml:space="preserve"> which </w:t>
      </w:r>
      <w:r w:rsidR="002037E0">
        <w:t xml:space="preserve">creates </w:t>
      </w:r>
      <w:r w:rsidR="00372777">
        <w:t xml:space="preserve">a </w:t>
      </w:r>
      <w:r w:rsidR="00AD5BB9">
        <w:rPr>
          <w:b/>
        </w:rPr>
        <w:t>37</w:t>
      </w:r>
      <w:r w:rsidR="008A6980" w:rsidRPr="002F08C1">
        <w:rPr>
          <w:b/>
        </w:rPr>
        <w:t>%</w:t>
      </w:r>
      <w:r w:rsidR="000C09DF" w:rsidRPr="002F08C1">
        <w:rPr>
          <w:b/>
        </w:rPr>
        <w:t xml:space="preserve"> upside</w:t>
      </w:r>
      <w:r w:rsidR="000C09DF">
        <w:t xml:space="preserve"> </w:t>
      </w:r>
      <w:r w:rsidR="003E3ABB">
        <w:t xml:space="preserve">from the current share price of </w:t>
      </w:r>
      <w:r w:rsidR="008B0262">
        <w:t>$</w:t>
      </w:r>
      <w:r w:rsidR="00AD5BB9">
        <w:t>51.87</w:t>
      </w:r>
      <w:r w:rsidR="008B0262">
        <w:t xml:space="preserve">. </w:t>
      </w:r>
    </w:p>
    <w:p w14:paraId="53D7DC1F" w14:textId="77777777" w:rsidR="007269F6" w:rsidRDefault="007269F6" w:rsidP="007269F6">
      <w:pPr>
        <w:rPr>
          <w:rFonts w:ascii="Calibri" w:hAnsi="Calibri" w:cs="Calibri"/>
        </w:rPr>
      </w:pPr>
      <w:r>
        <w:rPr>
          <w:rFonts w:ascii="Calibri" w:hAnsi="Calibri" w:cs="Calibri"/>
        </w:rPr>
        <w:t>In addition, we would like to see a better growth of Morgan Stanley stock if the Fed would like to rise some interest rate or the government is giving some stimulus for finance market for COVID-19 recovery. We determined the rate of 2021 and 2022 to be 9% and 15% for 2023, 8% as a terminal rate for 2024. Here are the dividends below:</w:t>
      </w:r>
    </w:p>
    <w:p w14:paraId="059ED1CB" w14:textId="7F3BBF13" w:rsidR="007269F6" w:rsidRDefault="007269F6" w:rsidP="007269F6">
      <w:pPr>
        <w:rPr>
          <w:rFonts w:ascii="Calibri" w:hAnsi="Calibri" w:cs="Calibri"/>
        </w:rPr>
      </w:pPr>
      <w:r>
        <w:rPr>
          <w:noProof/>
        </w:rPr>
        <w:t xml:space="preserve">                                 </w:t>
      </w:r>
      <w:r w:rsidRPr="007269F6">
        <w:rPr>
          <w:noProof/>
        </w:rPr>
        <w:t xml:space="preserve"> </w:t>
      </w:r>
      <w:r>
        <w:rPr>
          <w:noProof/>
        </w:rPr>
        <w:drawing>
          <wp:inline distT="0" distB="0" distL="0" distR="0" wp14:anchorId="62EF1A93" wp14:editId="09DB671A">
            <wp:extent cx="3552825" cy="1800225"/>
            <wp:effectExtent l="0" t="0" r="9525" b="9525"/>
            <wp:docPr id="15" name="Chart 15">
              <a:extLst xmlns:a="http://schemas.openxmlformats.org/drawingml/2006/main">
                <a:ext uri="{FF2B5EF4-FFF2-40B4-BE49-F238E27FC236}">
                  <a16:creationId xmlns:a16="http://schemas.microsoft.com/office/drawing/2014/main" id="{6933468A-F510-4707-8DCD-1EBF703CE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6F3247" w14:textId="119DE47B" w:rsidR="00954BC1" w:rsidRPr="00621EA8" w:rsidRDefault="00954BC1" w:rsidP="00684B15">
      <w:pPr>
        <w:jc w:val="center"/>
      </w:pPr>
    </w:p>
    <w:p w14:paraId="40C45414" w14:textId="40B4A82B" w:rsidR="00A17783" w:rsidRDefault="00CD5A8D">
      <w:r w:rsidRPr="00CD5A8D">
        <w:t>With the</w:t>
      </w:r>
      <w:r>
        <w:t xml:space="preserve">se dividend </w:t>
      </w:r>
      <w:r w:rsidR="00845482">
        <w:t xml:space="preserve">estimates, our model produces a current stock price value of </w:t>
      </w:r>
      <w:r w:rsidR="00147645" w:rsidRPr="002F08C1">
        <w:rPr>
          <w:b/>
        </w:rPr>
        <w:t>$</w:t>
      </w:r>
      <w:r w:rsidR="007269F6">
        <w:rPr>
          <w:b/>
        </w:rPr>
        <w:t>76.54</w:t>
      </w:r>
      <w:r w:rsidR="00354D8C">
        <w:t xml:space="preserve"> creating a</w:t>
      </w:r>
      <w:r w:rsidR="009A4215">
        <w:t xml:space="preserve">n </w:t>
      </w:r>
      <w:r w:rsidR="009A4215" w:rsidRPr="002F08C1">
        <w:rPr>
          <w:b/>
        </w:rPr>
        <w:t xml:space="preserve">upside </w:t>
      </w:r>
      <w:r w:rsidR="00354D8C" w:rsidRPr="002F08C1">
        <w:rPr>
          <w:b/>
        </w:rPr>
        <w:t>of</w:t>
      </w:r>
      <w:r w:rsidR="0073525A" w:rsidRPr="002F08C1">
        <w:rPr>
          <w:b/>
        </w:rPr>
        <w:t xml:space="preserve"> </w:t>
      </w:r>
      <w:r w:rsidR="007269F6">
        <w:rPr>
          <w:b/>
        </w:rPr>
        <w:t>47.5</w:t>
      </w:r>
      <w:r w:rsidR="0073525A" w:rsidRPr="002F08C1">
        <w:rPr>
          <w:b/>
        </w:rPr>
        <w:t>%</w:t>
      </w:r>
      <w:r w:rsidR="00CA0887">
        <w:t xml:space="preserve"> </w:t>
      </w:r>
      <w:r w:rsidR="005A1003">
        <w:t>from the current stock price of $</w:t>
      </w:r>
      <w:r w:rsidR="007269F6">
        <w:t>51.87</w:t>
      </w:r>
      <w:r w:rsidR="005A1003">
        <w:t xml:space="preserve">. </w:t>
      </w:r>
    </w:p>
    <w:p w14:paraId="79352F80" w14:textId="2EBDDF14" w:rsidR="005A1003" w:rsidRDefault="003532D9">
      <w:r>
        <w:t xml:space="preserve">Through these to valuations, we </w:t>
      </w:r>
      <w:r w:rsidR="00362595">
        <w:t>created</w:t>
      </w:r>
      <w:r>
        <w:t xml:space="preserve"> a stock price value range of </w:t>
      </w:r>
      <w:r w:rsidR="00EF6F5D" w:rsidRPr="002F08C1">
        <w:rPr>
          <w:b/>
        </w:rPr>
        <w:t>$</w:t>
      </w:r>
      <w:r w:rsidR="007269F6">
        <w:rPr>
          <w:b/>
        </w:rPr>
        <w:t>71.06</w:t>
      </w:r>
      <w:r w:rsidR="00EF6F5D" w:rsidRPr="002F08C1">
        <w:rPr>
          <w:b/>
        </w:rPr>
        <w:t xml:space="preserve"> - </w:t>
      </w:r>
      <w:r w:rsidR="003D2C2B" w:rsidRPr="002F08C1">
        <w:rPr>
          <w:b/>
        </w:rPr>
        <w:t>$</w:t>
      </w:r>
      <w:r w:rsidR="007269F6">
        <w:rPr>
          <w:b/>
        </w:rPr>
        <w:t>76.54</w:t>
      </w:r>
      <w:r w:rsidR="00C83D76">
        <w:t xml:space="preserve"> for </w:t>
      </w:r>
      <w:r w:rsidR="007269F6">
        <w:t>Morgan Stanley</w:t>
      </w:r>
      <w:r w:rsidR="00407DEA">
        <w:t xml:space="preserve">. </w:t>
      </w:r>
    </w:p>
    <w:p w14:paraId="7A0B8FB0" w14:textId="77109D8A" w:rsidR="00BC1F60" w:rsidRDefault="00334CE0" w:rsidP="00E37220">
      <w:pPr>
        <w:outlineLvl w:val="0"/>
      </w:pPr>
      <w:r>
        <w:rPr>
          <w:b/>
          <w:bCs/>
          <w:color w:val="2E74B5" w:themeColor="accent1" w:themeShade="BF"/>
          <w:sz w:val="24"/>
          <w:szCs w:val="24"/>
        </w:rPr>
        <w:t>P/E Ratio Analysis</w:t>
      </w:r>
    </w:p>
    <w:p w14:paraId="1057D723" w14:textId="77777777" w:rsidR="00D63D2C" w:rsidRPr="00D63D2C" w:rsidRDefault="00D63D2C" w:rsidP="00D63D2C">
      <w:pPr>
        <w:widowControl w:val="0"/>
        <w:jc w:val="both"/>
        <w:rPr>
          <w:rFonts w:ascii="Calibri" w:eastAsia="DengXian" w:hAnsi="Calibri" w:cs="Calibri"/>
          <w:lang w:eastAsia="zh-CN"/>
        </w:rPr>
      </w:pPr>
      <w:r w:rsidRPr="00D63D2C">
        <w:rPr>
          <w:rFonts w:ascii="Calibri" w:eastAsia="DengXian" w:hAnsi="Calibri" w:cs="Calibri"/>
          <w:lang w:eastAsia="zh-CN"/>
        </w:rPr>
        <w:t xml:space="preserve">In our next valuation, we </w:t>
      </w:r>
      <w:proofErr w:type="gramStart"/>
      <w:r w:rsidRPr="00D63D2C">
        <w:rPr>
          <w:rFonts w:ascii="Calibri" w:eastAsia="DengXian" w:hAnsi="Calibri" w:cs="Calibri"/>
          <w:lang w:eastAsia="zh-CN"/>
        </w:rPr>
        <w:t>looked into</w:t>
      </w:r>
      <w:proofErr w:type="gramEnd"/>
      <w:r w:rsidRPr="00D63D2C">
        <w:rPr>
          <w:rFonts w:ascii="Calibri" w:eastAsia="DengXian" w:hAnsi="Calibri" w:cs="Calibri"/>
          <w:lang w:eastAsia="zh-CN"/>
        </w:rPr>
        <w:t xml:space="preserve"> P/E ratio in order to watch how Morgan Stanley perform with its competitors. There are many financial institutions in Wall street. However, we chose two main institutions </w:t>
      </w:r>
      <w:proofErr w:type="gramStart"/>
      <w:r w:rsidRPr="00D63D2C">
        <w:rPr>
          <w:rFonts w:ascii="Calibri" w:eastAsia="DengXian" w:hAnsi="Calibri" w:cs="Calibri"/>
          <w:lang w:eastAsia="zh-CN"/>
        </w:rPr>
        <w:t>in order to</w:t>
      </w:r>
      <w:proofErr w:type="gramEnd"/>
      <w:r w:rsidRPr="00D63D2C">
        <w:rPr>
          <w:rFonts w:ascii="Calibri" w:eastAsia="DengXian" w:hAnsi="Calibri" w:cs="Calibri"/>
          <w:lang w:eastAsia="zh-CN"/>
        </w:rPr>
        <w:t xml:space="preserve"> make sure that the data is most typical when comparing with Morgan Stanley.</w:t>
      </w:r>
    </w:p>
    <w:p w14:paraId="14E51D61" w14:textId="24BB715B" w:rsidR="00D63D2C" w:rsidRDefault="00D63D2C" w:rsidP="00D63D2C">
      <w:pPr>
        <w:widowControl w:val="0"/>
        <w:jc w:val="both"/>
        <w:rPr>
          <w:rFonts w:ascii="Calibri" w:eastAsia="DengXian" w:hAnsi="Calibri" w:cs="Calibri"/>
          <w:lang w:eastAsia="zh-CN"/>
        </w:rPr>
      </w:pPr>
      <w:r w:rsidRPr="00D63D2C">
        <w:rPr>
          <w:rFonts w:ascii="Calibri" w:eastAsia="DengXian" w:hAnsi="Calibri" w:cs="Calibri"/>
          <w:lang w:eastAsia="zh-CN"/>
        </w:rPr>
        <w:t>Comparing with Morgan Stanley against JP. Morgan and Goldman Sachs with P/E ratios:</w:t>
      </w:r>
    </w:p>
    <w:p w14:paraId="45F88268" w14:textId="77777777" w:rsidR="00D63D2C" w:rsidRPr="00D63D2C" w:rsidRDefault="00D63D2C" w:rsidP="00D63D2C">
      <w:pPr>
        <w:widowControl w:val="0"/>
        <w:jc w:val="both"/>
        <w:rPr>
          <w:rFonts w:ascii="Calibri" w:eastAsia="DengXian" w:hAnsi="Calibri" w:cs="Calibri"/>
          <w:lang w:eastAsia="zh-CN"/>
        </w:rPr>
      </w:pPr>
    </w:p>
    <w:p w14:paraId="7BEA203A" w14:textId="69AF9B28" w:rsidR="00441364" w:rsidRDefault="004C6109" w:rsidP="00684B15">
      <w:pPr>
        <w:jc w:val="center"/>
        <w:rPr>
          <w:b/>
          <w:bCs/>
          <w:color w:val="2E74B5" w:themeColor="accent1" w:themeShade="BF"/>
          <w:sz w:val="24"/>
          <w:szCs w:val="24"/>
        </w:rPr>
      </w:pPr>
      <w:r>
        <w:rPr>
          <w:noProof/>
        </w:rPr>
        <w:drawing>
          <wp:inline distT="0" distB="0" distL="0" distR="0" wp14:anchorId="56E8F71F" wp14:editId="21D1F211">
            <wp:extent cx="4572000" cy="2743200"/>
            <wp:effectExtent l="0" t="0" r="0" b="0"/>
            <wp:docPr id="2" name="Chart 2">
              <a:extLst xmlns:a="http://schemas.openxmlformats.org/drawingml/2006/main">
                <a:ext uri="{FF2B5EF4-FFF2-40B4-BE49-F238E27FC236}">
                  <a16:creationId xmlns:a16="http://schemas.microsoft.com/office/drawing/2014/main" id="{B2436E4E-7C82-4A7F-A7CD-3C2C8FB75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E04366" w14:textId="77777777" w:rsidR="00D63D2C" w:rsidRPr="00C934C0" w:rsidRDefault="00D63D2C" w:rsidP="00684B15">
      <w:pPr>
        <w:jc w:val="center"/>
        <w:rPr>
          <w:b/>
          <w:bCs/>
          <w:color w:val="2E74B5" w:themeColor="accent1" w:themeShade="BF"/>
          <w:sz w:val="24"/>
          <w:szCs w:val="24"/>
        </w:rPr>
      </w:pPr>
    </w:p>
    <w:p w14:paraId="4AE5322C" w14:textId="6EA985D4" w:rsidR="00334CE0" w:rsidRDefault="00334CE0" w:rsidP="00334CE0">
      <w:pPr>
        <w:rPr>
          <w:rFonts w:ascii="Calibri" w:hAnsi="Calibri" w:cs="Calibri"/>
        </w:rPr>
      </w:pPr>
      <w:r>
        <w:rPr>
          <w:rFonts w:ascii="Calibri" w:hAnsi="Calibri" w:cs="Calibri"/>
        </w:rPr>
        <w:t xml:space="preserve">Morgan Stanley’s has a lower stock price than its </w:t>
      </w:r>
      <w:proofErr w:type="gramStart"/>
      <w:r>
        <w:rPr>
          <w:rFonts w:ascii="Calibri" w:hAnsi="Calibri" w:cs="Calibri"/>
        </w:rPr>
        <w:t>peer, but</w:t>
      </w:r>
      <w:proofErr w:type="gramEnd"/>
      <w:r>
        <w:rPr>
          <w:rFonts w:ascii="Calibri" w:hAnsi="Calibri" w:cs="Calibri"/>
        </w:rPr>
        <w:t xml:space="preserve"> offering a better earning and return than its peer. Using P/E ratio, we could come out with Morgan Stanley’s target price is </w:t>
      </w:r>
      <w:r w:rsidRPr="00334CE0">
        <w:rPr>
          <w:rFonts w:ascii="Calibri" w:hAnsi="Calibri" w:cs="Calibri"/>
          <w:b/>
          <w:bCs/>
        </w:rPr>
        <w:t>$61.67</w:t>
      </w:r>
      <w:r>
        <w:rPr>
          <w:rFonts w:ascii="Calibri" w:hAnsi="Calibri" w:cs="Calibri"/>
        </w:rPr>
        <w:t xml:space="preserve">. We could see basing on the current price is $51.87, which has a </w:t>
      </w:r>
      <w:r w:rsidRPr="00334CE0">
        <w:rPr>
          <w:rFonts w:ascii="Calibri" w:hAnsi="Calibri" w:cs="Calibri"/>
          <w:b/>
          <w:bCs/>
        </w:rPr>
        <w:t>15.89%</w:t>
      </w:r>
      <w:r>
        <w:rPr>
          <w:rFonts w:ascii="Calibri" w:hAnsi="Calibri" w:cs="Calibri"/>
        </w:rPr>
        <w:t xml:space="preserve"> increase.</w:t>
      </w:r>
    </w:p>
    <w:p w14:paraId="787FFF70" w14:textId="77777777" w:rsidR="00334CE0" w:rsidRDefault="00334CE0" w:rsidP="00334CE0">
      <w:pPr>
        <w:rPr>
          <w:rFonts w:ascii="Calibri" w:hAnsi="Calibri" w:cs="Calibri"/>
        </w:rPr>
      </w:pPr>
    </w:p>
    <w:p w14:paraId="14E9BFFC" w14:textId="77777777" w:rsidR="00334CE0" w:rsidRPr="00334CE0" w:rsidRDefault="00334CE0" w:rsidP="00334CE0">
      <w:pPr>
        <w:widowControl w:val="0"/>
        <w:jc w:val="both"/>
        <w:rPr>
          <w:rFonts w:ascii="Calibri" w:eastAsia="DengXian" w:hAnsi="Calibri" w:cs="Calibri"/>
          <w:lang w:eastAsia="zh-CN"/>
        </w:rPr>
      </w:pPr>
      <w:bookmarkStart w:id="0" w:name="_Hlk55124287"/>
      <w:r w:rsidRPr="00334CE0">
        <w:rPr>
          <w:rFonts w:ascii="Calibri" w:eastAsia="DengXian" w:hAnsi="Calibri" w:cs="Calibri"/>
          <w:lang w:eastAsia="zh-CN"/>
        </w:rPr>
        <w:t xml:space="preserve">Basing on these two analyses, we could get a range of Morgan Stanley’s stock price is </w:t>
      </w:r>
      <w:r w:rsidRPr="00334CE0">
        <w:rPr>
          <w:rFonts w:ascii="Calibri" w:eastAsia="DengXian" w:hAnsi="Calibri" w:cs="Calibri"/>
          <w:b/>
          <w:bCs/>
          <w:lang w:eastAsia="zh-CN"/>
        </w:rPr>
        <w:t>$63.7 – $76.15</w:t>
      </w:r>
      <w:r w:rsidRPr="00334CE0">
        <w:rPr>
          <w:rFonts w:ascii="Calibri" w:eastAsia="DengXian" w:hAnsi="Calibri" w:cs="Calibri"/>
          <w:lang w:eastAsia="zh-CN"/>
        </w:rPr>
        <w:t xml:space="preserve">, which is increasing of </w:t>
      </w:r>
      <w:r w:rsidRPr="00334CE0">
        <w:rPr>
          <w:rFonts w:ascii="Calibri" w:eastAsia="DengXian" w:hAnsi="Calibri" w:cs="Calibri"/>
          <w:b/>
          <w:bCs/>
          <w:lang w:eastAsia="zh-CN"/>
        </w:rPr>
        <w:t>22.8% - 46.8%</w:t>
      </w:r>
      <w:r w:rsidRPr="00334CE0">
        <w:rPr>
          <w:rFonts w:ascii="Calibri" w:eastAsia="DengXian" w:hAnsi="Calibri" w:cs="Calibri"/>
          <w:lang w:eastAsia="zh-CN"/>
        </w:rPr>
        <w:t xml:space="preserve"> </w:t>
      </w:r>
    </w:p>
    <w:bookmarkEnd w:id="0"/>
    <w:p w14:paraId="20B794F0" w14:textId="77777777" w:rsidR="00415459" w:rsidRDefault="00415459"/>
    <w:p w14:paraId="30F8A756" w14:textId="0924847A" w:rsidR="00590387" w:rsidRPr="0027420D" w:rsidRDefault="00931A2F" w:rsidP="0027420D">
      <w:r>
        <w:rPr>
          <w:noProof/>
        </w:rPr>
        <w:lastRenderedPageBreak/>
        <w:drawing>
          <wp:anchor distT="0" distB="0" distL="114300" distR="114300" simplePos="0" relativeHeight="251658255" behindDoc="0" locked="0" layoutInCell="1" allowOverlap="1" wp14:anchorId="03199BDE" wp14:editId="4B027479">
            <wp:simplePos x="0" y="0"/>
            <wp:positionH relativeFrom="column">
              <wp:posOffset>2561590</wp:posOffset>
            </wp:positionH>
            <wp:positionV relativeFrom="paragraph">
              <wp:posOffset>192405</wp:posOffset>
            </wp:positionV>
            <wp:extent cx="3237230" cy="1452880"/>
            <wp:effectExtent l="0" t="0" r="1270" b="0"/>
            <wp:wrapTight wrapText="bothSides">
              <wp:wrapPolygon edited="0">
                <wp:start x="0" y="0"/>
                <wp:lineTo x="0" y="21241"/>
                <wp:lineTo x="21481" y="21241"/>
                <wp:lineTo x="214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37230" cy="1452880"/>
                    </a:xfrm>
                    <a:prstGeom prst="rect">
                      <a:avLst/>
                    </a:prstGeom>
                  </pic:spPr>
                </pic:pic>
              </a:graphicData>
            </a:graphic>
            <wp14:sizeRelH relativeFrom="page">
              <wp14:pctWidth>0</wp14:pctWidth>
            </wp14:sizeRelH>
            <wp14:sizeRelV relativeFrom="page">
              <wp14:pctHeight>0</wp14:pctHeight>
            </wp14:sizeRelV>
          </wp:anchor>
        </w:drawing>
      </w:r>
      <w:r w:rsidR="00B2202C">
        <w:rPr>
          <w:b/>
          <w:bCs/>
          <w:noProof/>
          <w:color w:val="5B9BD5" w:themeColor="accent1"/>
          <w:sz w:val="32"/>
          <w:szCs w:val="32"/>
        </w:rPr>
        <mc:AlternateContent>
          <mc:Choice Requires="wps">
            <w:drawing>
              <wp:anchor distT="0" distB="0" distL="114300" distR="114300" simplePos="0" relativeHeight="251658246" behindDoc="0" locked="0" layoutInCell="1" allowOverlap="1" wp14:anchorId="31F8D4D8" wp14:editId="00950A8B">
                <wp:simplePos x="0" y="0"/>
                <wp:positionH relativeFrom="margin">
                  <wp:align>left</wp:align>
                </wp:positionH>
                <wp:positionV relativeFrom="paragraph">
                  <wp:posOffset>-112661</wp:posOffset>
                </wp:positionV>
                <wp:extent cx="5969000" cy="82550"/>
                <wp:effectExtent l="0" t="0" r="0" b="0"/>
                <wp:wrapNone/>
                <wp:docPr id="20" name="Rectangle 20"/>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E087CEF" id="Rectangle 20" o:spid="_x0000_s1026" style="position:absolute;margin-left:0;margin-top:-8.85pt;width:470pt;height:6.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" fillcolor="#ffc000" stroked="f" strokeweight="1pt">
                <w10:wrap anchorx="margin"/>
              </v:rect>
            </w:pict>
          </mc:Fallback>
        </mc:AlternateContent>
      </w:r>
      <w:r w:rsidR="00B6400C">
        <w:rPr>
          <w:b/>
          <w:bCs/>
          <w:color w:val="1F3864" w:themeColor="accent5" w:themeShade="80"/>
          <w:sz w:val="36"/>
          <w:szCs w:val="36"/>
        </w:rPr>
        <w:t xml:space="preserve">Risks: </w:t>
      </w:r>
    </w:p>
    <w:p w14:paraId="7F65A2C2" w14:textId="729E029B" w:rsidR="00BC1F60" w:rsidRDefault="00590387" w:rsidP="00E37220">
      <w:pPr>
        <w:outlineLvl w:val="0"/>
        <w:rPr>
          <w:b/>
          <w:bCs/>
          <w:color w:val="2E74B5" w:themeColor="accent1" w:themeShade="BF"/>
          <w:sz w:val="24"/>
          <w:szCs w:val="24"/>
        </w:rPr>
      </w:pPr>
      <w:r w:rsidRPr="008F7B15">
        <w:rPr>
          <w:b/>
          <w:bCs/>
          <w:color w:val="2E74B5" w:themeColor="accent1" w:themeShade="BF"/>
          <w:sz w:val="24"/>
          <w:szCs w:val="24"/>
        </w:rPr>
        <w:t>Economy</w:t>
      </w:r>
    </w:p>
    <w:p w14:paraId="35F58C7A" w14:textId="48087A72" w:rsidR="0089076D" w:rsidRPr="0089076D" w:rsidRDefault="0089076D" w:rsidP="0089076D">
      <w:r w:rsidRPr="0089076D">
        <w:t xml:space="preserve">Out of pandemic and many other political events, stock market is at </w:t>
      </w:r>
      <w:r w:rsidR="0032606C">
        <w:t>high</w:t>
      </w:r>
      <w:r w:rsidRPr="0089076D">
        <w:t xml:space="preserve"> volatility statement, but weak homes sales may weigh on the bank’s fourth-quarter results. Morgan Stanley also faces external headwinds in 2020, which concludes the uncertainty after elections and investors worried about an overly aggressive Federal Reserve and the weak economic growth may trigger a recession.</w:t>
      </w:r>
    </w:p>
    <w:p w14:paraId="401EA04F" w14:textId="77777777" w:rsidR="00BC1F60" w:rsidRDefault="00590387" w:rsidP="00E37220">
      <w:pPr>
        <w:outlineLvl w:val="0"/>
        <w:rPr>
          <w:b/>
          <w:bCs/>
          <w:color w:val="2E74B5" w:themeColor="accent1" w:themeShade="BF"/>
          <w:sz w:val="24"/>
          <w:szCs w:val="24"/>
        </w:rPr>
      </w:pPr>
      <w:r w:rsidRPr="008F7B15">
        <w:rPr>
          <w:b/>
          <w:bCs/>
          <w:color w:val="2E74B5" w:themeColor="accent1" w:themeShade="BF"/>
          <w:sz w:val="24"/>
          <w:szCs w:val="24"/>
        </w:rPr>
        <w:t>Competition</w:t>
      </w:r>
    </w:p>
    <w:p w14:paraId="229D69AF" w14:textId="7F6C8C37" w:rsidR="0089076D" w:rsidRPr="0089076D" w:rsidRDefault="0089076D" w:rsidP="0089076D">
      <w:pPr>
        <w:outlineLvl w:val="0"/>
      </w:pPr>
      <w:r w:rsidRPr="0089076D">
        <w:t>CEO James Gorman once said in an interview, the real rivals of Morgan Stanley are not those traditional financial institutions or some companies, but one like Amazon. As the biggest Financial management in the world, Morgan Stanley is bounded to invest more in digital bank, internet security and some other field, these sequences actions may make less profit and risk of paying back. What is also vital is small companies take advantage of lowering cost in technology and diversity of communication, which may in ways of cooperating with other companies.</w:t>
      </w:r>
    </w:p>
    <w:p w14:paraId="56230FBC" w14:textId="77777777" w:rsidR="00BC1F60" w:rsidRDefault="009B65DB" w:rsidP="00E37220">
      <w:pPr>
        <w:outlineLvl w:val="0"/>
        <w:rPr>
          <w:b/>
          <w:bCs/>
          <w:color w:val="2E74B5" w:themeColor="accent1" w:themeShade="BF"/>
          <w:sz w:val="24"/>
          <w:szCs w:val="24"/>
        </w:rPr>
      </w:pPr>
      <w:r>
        <w:rPr>
          <w:b/>
          <w:bCs/>
          <w:color w:val="2E74B5" w:themeColor="accent1" w:themeShade="BF"/>
          <w:sz w:val="24"/>
          <w:szCs w:val="24"/>
        </w:rPr>
        <w:t>Security Breach</w:t>
      </w:r>
    </w:p>
    <w:p w14:paraId="7C7179C6" w14:textId="5338AA54" w:rsidR="009B65DB" w:rsidRDefault="0089076D" w:rsidP="00590387">
      <w:pPr>
        <w:rPr>
          <w:b/>
          <w:bCs/>
          <w:color w:val="2E74B5" w:themeColor="accent1" w:themeShade="BF"/>
          <w:sz w:val="24"/>
          <w:szCs w:val="24"/>
        </w:rPr>
      </w:pPr>
      <w:r>
        <w:rPr>
          <w:b/>
          <w:bCs/>
          <w:noProof/>
          <w:color w:val="5B9BD5" w:themeColor="accent1"/>
          <w:sz w:val="32"/>
          <w:szCs w:val="32"/>
        </w:rPr>
        <mc:AlternateContent>
          <mc:Choice Requires="wps">
            <w:drawing>
              <wp:anchor distT="0" distB="0" distL="114300" distR="114300" simplePos="0" relativeHeight="251658243" behindDoc="0" locked="0" layoutInCell="1" allowOverlap="1" wp14:anchorId="4D9CF3DA" wp14:editId="6ED2D96B">
                <wp:simplePos x="0" y="0"/>
                <wp:positionH relativeFrom="margin">
                  <wp:posOffset>-47625</wp:posOffset>
                </wp:positionH>
                <wp:positionV relativeFrom="paragraph">
                  <wp:posOffset>951865</wp:posOffset>
                </wp:positionV>
                <wp:extent cx="5969000" cy="82550"/>
                <wp:effectExtent l="0" t="0" r="0" b="0"/>
                <wp:wrapNone/>
                <wp:docPr id="9" name="Rectangle 9"/>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C7D65" id="Rectangle 9" o:spid="_x0000_s1026" style="position:absolute;margin-left:-3.75pt;margin-top:74.95pt;width:470pt;height: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" fillcolor="#ffc000" stroked="f" strokeweight="1pt">
                <w10:wrap anchorx="margin"/>
              </v:rect>
            </w:pict>
          </mc:Fallback>
        </mc:AlternateContent>
      </w:r>
      <w:r w:rsidRPr="0089076D">
        <w:t>Morgan Stanley is always holding with its innovative business model, which is also a point that it can transcend other banks. It invests bunch of money in their information department. Last year, technology budget of Morgan Stanley took 44% of its net profit of the whole year in 2018.</w:t>
      </w:r>
      <w:r>
        <w:t xml:space="preserve"> We could see that technology has taken a large place on Morgan Stanley’s</w:t>
      </w:r>
      <w:r w:rsidR="004C6109">
        <w:t xml:space="preserve"> works. However, security breach is rarely happened so the probability is low.</w:t>
      </w:r>
    </w:p>
    <w:p w14:paraId="5C43DA49" w14:textId="6C7C554E" w:rsidR="00376572" w:rsidRPr="0027420D" w:rsidRDefault="00376572" w:rsidP="0027420D">
      <w:pPr>
        <w:rPr>
          <w:b/>
          <w:bCs/>
          <w:color w:val="2E74B5" w:themeColor="accent1" w:themeShade="BF"/>
          <w:sz w:val="24"/>
          <w:szCs w:val="24"/>
        </w:rPr>
      </w:pPr>
      <w:r>
        <w:rPr>
          <w:b/>
          <w:bCs/>
          <w:color w:val="1F4E79" w:themeColor="accent1" w:themeShade="80"/>
          <w:sz w:val="32"/>
          <w:szCs w:val="32"/>
        </w:rPr>
        <w:t>Management</w:t>
      </w:r>
      <w:r w:rsidR="007F2B02">
        <w:rPr>
          <w:b/>
          <w:bCs/>
          <w:color w:val="1F4E79" w:themeColor="accent1" w:themeShade="80"/>
          <w:sz w:val="32"/>
          <w:szCs w:val="32"/>
        </w:rPr>
        <w:t>:</w:t>
      </w:r>
      <w:r>
        <w:rPr>
          <w:b/>
          <w:bCs/>
          <w:color w:val="1F4E79" w:themeColor="accent1" w:themeShade="80"/>
          <w:sz w:val="32"/>
          <w:szCs w:val="32"/>
        </w:rPr>
        <w:t xml:space="preserve"> </w:t>
      </w:r>
    </w:p>
    <w:p w14:paraId="1B7F304A" w14:textId="76BAD270" w:rsidR="0004238A" w:rsidRPr="00EB16AE" w:rsidRDefault="0004238A" w:rsidP="0004238A">
      <w:pPr>
        <w:rPr>
          <w:rFonts w:ascii="Calibri" w:hAnsi="Calibri" w:cs="Calibri"/>
        </w:rPr>
      </w:pPr>
      <w:r>
        <w:rPr>
          <w:rFonts w:ascii="Calibri" w:hAnsi="Calibri" w:cs="Calibri"/>
        </w:rPr>
        <w:t xml:space="preserve">Morgan Stanley’s chairman and CEO </w:t>
      </w:r>
      <w:proofErr w:type="gramStart"/>
      <w:r>
        <w:rPr>
          <w:rFonts w:ascii="Calibri" w:hAnsi="Calibri" w:cs="Calibri"/>
        </w:rPr>
        <w:t>is</w:t>
      </w:r>
      <w:proofErr w:type="gramEnd"/>
      <w:r>
        <w:rPr>
          <w:rFonts w:ascii="Calibri" w:hAnsi="Calibri" w:cs="Calibri"/>
        </w:rPr>
        <w:t xml:space="preserve"> James P. Gorman. </w:t>
      </w:r>
      <w:r w:rsidRPr="00465251">
        <w:rPr>
          <w:rFonts w:ascii="Calibri" w:hAnsi="Calibri" w:cs="Calibri"/>
        </w:rPr>
        <w:t>In September 2009, it was announced he would become CEO of Morgan Stanley in January 2010. He also assumed the title of Chairman in January 2012 following the retirement of John J. Mack. Press reports indicate his compensation as Chairman and CEO was $9.75 million for 2012, with the New York Times reporting an increase to $18 million in 2013.</w:t>
      </w:r>
      <w:r>
        <w:rPr>
          <w:rFonts w:ascii="Calibri" w:hAnsi="Calibri" w:cs="Calibri"/>
        </w:rPr>
        <w:t xml:space="preserve"> </w:t>
      </w:r>
      <w:r w:rsidR="00F90AF6">
        <w:rPr>
          <w:rFonts w:ascii="Calibri" w:hAnsi="Calibri" w:cs="Calibri"/>
        </w:rPr>
        <w:t>He</w:t>
      </w:r>
      <w:r w:rsidR="00F90AF6" w:rsidRPr="00F90AF6">
        <w:rPr>
          <w:rFonts w:ascii="Calibri" w:hAnsi="Calibri" w:cs="Calibri"/>
        </w:rPr>
        <w:t xml:space="preserve"> earned about $19 million in Morgan Stanley shares and another roughly $8 million in cash, including salary and bonus</w:t>
      </w:r>
      <w:r w:rsidR="00F90AF6">
        <w:rPr>
          <w:rFonts w:ascii="Calibri" w:hAnsi="Calibri" w:cs="Calibri"/>
        </w:rPr>
        <w:t xml:space="preserve">. </w:t>
      </w:r>
      <w:r>
        <w:rPr>
          <w:rFonts w:ascii="Calibri" w:hAnsi="Calibri" w:cs="Calibri"/>
        </w:rPr>
        <w:t>Except James Gorman, there are about 14 directors to cooperate with Gorman to run Morgan Stanley. Morgan Stanley is proud of their equality and diversity.</w:t>
      </w:r>
      <w:r w:rsidR="0032606C">
        <w:rPr>
          <w:rFonts w:ascii="Calibri" w:hAnsi="Calibri" w:cs="Calibri"/>
        </w:rPr>
        <w:t xml:space="preserve"> The committee is consisted of several international groups and Morgan Stanley is very willing to embrace any talent people no matter who he/she is.</w:t>
      </w:r>
      <w:r w:rsidR="00F90AF6">
        <w:rPr>
          <w:rFonts w:ascii="Calibri" w:hAnsi="Calibri" w:cs="Calibri"/>
        </w:rPr>
        <w:t xml:space="preserve"> </w:t>
      </w:r>
      <w:r>
        <w:rPr>
          <w:rFonts w:ascii="Calibri" w:hAnsi="Calibri" w:cs="Calibri"/>
        </w:rPr>
        <w:t xml:space="preserve"> Morgan Stanley always has their ambitions to explore future market. In addition, Morgan Stanley on the first place of “</w:t>
      </w:r>
      <w:r w:rsidRPr="00762D71">
        <w:rPr>
          <w:rFonts w:ascii="Calibri" w:hAnsi="Calibri" w:cs="Calibri"/>
        </w:rPr>
        <w:t>North America's best bank for financing 2020</w:t>
      </w:r>
      <w:r>
        <w:rPr>
          <w:rFonts w:ascii="Calibri" w:hAnsi="Calibri" w:cs="Calibri"/>
        </w:rPr>
        <w:t>” and “</w:t>
      </w:r>
      <w:r w:rsidRPr="00762D71">
        <w:rPr>
          <w:rFonts w:ascii="Calibri" w:hAnsi="Calibri" w:cs="Calibri"/>
        </w:rPr>
        <w:t>North America's best bank for sustainable finance 2020</w:t>
      </w:r>
      <w:r>
        <w:rPr>
          <w:rFonts w:ascii="Calibri" w:hAnsi="Calibri" w:cs="Calibri"/>
        </w:rPr>
        <w:t>”. We can see the potential of Morgan Stanley in future several years.</w:t>
      </w:r>
    </w:p>
    <w:p w14:paraId="5DE9A450" w14:textId="77777777" w:rsidR="001C328B" w:rsidRDefault="001C328B" w:rsidP="0027420D">
      <w:pPr>
        <w:rPr>
          <w:b/>
          <w:bCs/>
          <w:color w:val="1F4E79" w:themeColor="accent1" w:themeShade="80"/>
          <w:sz w:val="32"/>
          <w:szCs w:val="32"/>
        </w:rPr>
      </w:pPr>
    </w:p>
    <w:p w14:paraId="0F82B022" w14:textId="5154F727" w:rsidR="000847F3" w:rsidRDefault="009B531D" w:rsidP="0027420D">
      <w:pPr>
        <w:rPr>
          <w:b/>
          <w:bCs/>
          <w:color w:val="1F4E79" w:themeColor="accent1" w:themeShade="80"/>
          <w:sz w:val="32"/>
          <w:szCs w:val="32"/>
        </w:rPr>
      </w:pPr>
      <w:r w:rsidRPr="00B94621">
        <w:rPr>
          <w:b/>
          <w:bCs/>
          <w:noProof/>
          <w:color w:val="1F4E79" w:themeColor="accent1" w:themeShade="80"/>
          <w:sz w:val="32"/>
          <w:szCs w:val="32"/>
        </w:rPr>
        <w:lastRenderedPageBreak/>
        <mc:AlternateContent>
          <mc:Choice Requires="wps">
            <w:drawing>
              <wp:anchor distT="45720" distB="45720" distL="114300" distR="114300" simplePos="0" relativeHeight="251658254" behindDoc="0" locked="0" layoutInCell="1" allowOverlap="1" wp14:anchorId="7D715D52" wp14:editId="24688E83">
                <wp:simplePos x="0" y="0"/>
                <wp:positionH relativeFrom="margin">
                  <wp:posOffset>1705610</wp:posOffset>
                </wp:positionH>
                <wp:positionV relativeFrom="paragraph">
                  <wp:posOffset>523240</wp:posOffset>
                </wp:positionV>
                <wp:extent cx="2105025" cy="395288"/>
                <wp:effectExtent l="0" t="0" r="0" b="508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95288"/>
                        </a:xfrm>
                        <a:prstGeom prst="rect">
                          <a:avLst/>
                        </a:prstGeom>
                        <a:noFill/>
                        <a:ln w="9525">
                          <a:noFill/>
                          <a:miter lim="800000"/>
                          <a:headEnd/>
                          <a:tailEnd/>
                        </a:ln>
                      </wps:spPr>
                      <wps:txbx>
                        <w:txbxContent>
                          <w:p w14:paraId="33BE2DF3" w14:textId="4C9ECA17" w:rsidR="002F08C1" w:rsidRPr="00B94621" w:rsidRDefault="002F08C1" w:rsidP="002F08C1">
                            <w:pPr>
                              <w:rPr>
                                <w:b/>
                                <w:bCs/>
                                <w:sz w:val="28"/>
                                <w:szCs w:val="28"/>
                              </w:rPr>
                            </w:pPr>
                            <w:r w:rsidRPr="00B94621">
                              <w:rPr>
                                <w:b/>
                                <w:bCs/>
                                <w:sz w:val="28"/>
                                <w:szCs w:val="28"/>
                              </w:rPr>
                              <w:t>0</w:t>
                            </w:r>
                            <w:r w:rsidR="005538BB">
                              <w:rPr>
                                <w:b/>
                                <w:bCs/>
                                <w:sz w:val="28"/>
                                <w:szCs w:val="28"/>
                              </w:rPr>
                              <w:t>9</w:t>
                            </w:r>
                            <w:r w:rsidRPr="00B94621">
                              <w:rPr>
                                <w:b/>
                                <w:bCs/>
                                <w:sz w:val="28"/>
                                <w:szCs w:val="28"/>
                              </w:rPr>
                              <w:t>.10.2019 – 0</w:t>
                            </w:r>
                            <w:r w:rsidR="005538BB">
                              <w:rPr>
                                <w:b/>
                                <w:bCs/>
                                <w:sz w:val="28"/>
                                <w:szCs w:val="28"/>
                              </w:rPr>
                              <w:t>9</w:t>
                            </w:r>
                            <w:r w:rsidRPr="00B94621">
                              <w:rPr>
                                <w:b/>
                                <w:bCs/>
                                <w:sz w:val="28"/>
                                <w:szCs w:val="28"/>
                              </w:rPr>
                              <w:t>.10.2020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15D52" id="_x0000_t202" coordsize="21600,21600" o:spt="202" path="m,l,21600r21600,l21600,xe">
                <v:stroke joinstyle="miter"/>
                <v:path gradientshapeok="t" o:connecttype="rect"/>
              </v:shapetype>
              <v:shape id="Text Box 2" o:spid="_x0000_s1026" type="#_x0000_t202" style="position:absolute;margin-left:134.3pt;margin-top:41.2pt;width:165.75pt;height:31.15pt;z-index:25165825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" filled="f" stroked="f">
                <v:textbox>
                  <w:txbxContent>
                    <w:p w14:paraId="33BE2DF3" w14:textId="4C9ECA17" w:rsidR="002F08C1" w:rsidRPr="00B94621" w:rsidRDefault="002F08C1" w:rsidP="002F08C1">
                      <w:pPr>
                        <w:rPr>
                          <w:b/>
                          <w:bCs/>
                          <w:sz w:val="28"/>
                          <w:szCs w:val="28"/>
                        </w:rPr>
                      </w:pPr>
                      <w:r w:rsidRPr="00B94621">
                        <w:rPr>
                          <w:b/>
                          <w:bCs/>
                          <w:sz w:val="28"/>
                          <w:szCs w:val="28"/>
                        </w:rPr>
                        <w:t>0</w:t>
                      </w:r>
                      <w:r w:rsidR="005538BB">
                        <w:rPr>
                          <w:b/>
                          <w:bCs/>
                          <w:sz w:val="28"/>
                          <w:szCs w:val="28"/>
                        </w:rPr>
                        <w:t>9</w:t>
                      </w:r>
                      <w:r w:rsidRPr="00B94621">
                        <w:rPr>
                          <w:b/>
                          <w:bCs/>
                          <w:sz w:val="28"/>
                          <w:szCs w:val="28"/>
                        </w:rPr>
                        <w:t>.10.2019 – 0</w:t>
                      </w:r>
                      <w:r w:rsidR="005538BB">
                        <w:rPr>
                          <w:b/>
                          <w:bCs/>
                          <w:sz w:val="28"/>
                          <w:szCs w:val="28"/>
                        </w:rPr>
                        <w:t>9</w:t>
                      </w:r>
                      <w:r w:rsidRPr="00B94621">
                        <w:rPr>
                          <w:b/>
                          <w:bCs/>
                          <w:sz w:val="28"/>
                          <w:szCs w:val="28"/>
                        </w:rPr>
                        <w:t>.10.2020</w:t>
                      </w:r>
                    </w:p>
                  </w:txbxContent>
                </v:textbox>
                <w10:wrap anchorx="margin"/>
              </v:shape>
            </w:pict>
          </mc:Fallback>
        </mc:AlternateContent>
      </w:r>
      <w:r w:rsidR="00DE3BEE">
        <w:rPr>
          <w:b/>
          <w:bCs/>
          <w:noProof/>
          <w:color w:val="5B9BD5" w:themeColor="accent1"/>
          <w:sz w:val="32"/>
          <w:szCs w:val="32"/>
        </w:rPr>
        <mc:AlternateContent>
          <mc:Choice Requires="wps">
            <w:drawing>
              <wp:anchor distT="0" distB="0" distL="114300" distR="114300" simplePos="0" relativeHeight="251658247" behindDoc="0" locked="0" layoutInCell="1" allowOverlap="1" wp14:anchorId="5E3D0041" wp14:editId="7BD5A156">
                <wp:simplePos x="0" y="0"/>
                <wp:positionH relativeFrom="margin">
                  <wp:align>left</wp:align>
                </wp:positionH>
                <wp:positionV relativeFrom="paragraph">
                  <wp:posOffset>-92517</wp:posOffset>
                </wp:positionV>
                <wp:extent cx="5969000" cy="82550"/>
                <wp:effectExtent l="0" t="0" r="0" b="0"/>
                <wp:wrapNone/>
                <wp:docPr id="26" name="Rectangle 26"/>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9C2FA" id="Rectangle 26" o:spid="_x0000_s1026" style="position:absolute;margin-left:0;margin-top:-7.3pt;width:470pt;height:6.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" fillcolor="#ffc000 [3207]" stroked="f" strokeweight="1pt">
                <w10:wrap anchorx="margin"/>
              </v:rect>
            </w:pict>
          </mc:Fallback>
        </mc:AlternateContent>
      </w:r>
      <w:r w:rsidR="00394C7F">
        <w:rPr>
          <w:b/>
          <w:bCs/>
          <w:color w:val="1F4E79" w:themeColor="accent1" w:themeShade="80"/>
          <w:sz w:val="32"/>
          <w:szCs w:val="32"/>
        </w:rPr>
        <w:t xml:space="preserve">Stock Chart of Past Year </w:t>
      </w:r>
      <w:r w:rsidR="003F251D">
        <w:rPr>
          <w:b/>
          <w:bCs/>
          <w:color w:val="1F4E79" w:themeColor="accent1" w:themeShade="80"/>
          <w:sz w:val="32"/>
          <w:szCs w:val="32"/>
        </w:rPr>
        <w:t>Growth</w:t>
      </w:r>
      <w:r w:rsidR="00002685">
        <w:rPr>
          <w:b/>
          <w:bCs/>
          <w:color w:val="1F4E79" w:themeColor="accent1" w:themeShade="80"/>
          <w:sz w:val="32"/>
          <w:szCs w:val="32"/>
        </w:rPr>
        <w:t xml:space="preserve">: </w:t>
      </w:r>
      <w:r w:rsidR="00394C7F">
        <w:rPr>
          <w:b/>
          <w:bCs/>
          <w:color w:val="1F4E79" w:themeColor="accent1" w:themeShade="80"/>
          <w:sz w:val="32"/>
          <w:szCs w:val="32"/>
        </w:rPr>
        <w:t xml:space="preserve"> </w:t>
      </w:r>
      <w:r w:rsidR="00F02BBB">
        <w:rPr>
          <w:b/>
          <w:bCs/>
          <w:color w:val="1F4E79" w:themeColor="accent1" w:themeShade="80"/>
          <w:sz w:val="32"/>
          <w:szCs w:val="32"/>
        </w:rPr>
        <w:t xml:space="preserve"> </w:t>
      </w:r>
    </w:p>
    <w:p w14:paraId="06052F7A" w14:textId="7E95019A" w:rsidR="00394C7F" w:rsidRDefault="00E36220">
      <w:pPr>
        <w:rPr>
          <w:b/>
          <w:bCs/>
          <w:color w:val="1F4E79" w:themeColor="accent1" w:themeShade="80"/>
          <w:sz w:val="32"/>
          <w:szCs w:val="32"/>
        </w:rPr>
      </w:pPr>
      <w:r w:rsidRPr="00E36220">
        <w:rPr>
          <w:b/>
          <w:bCs/>
          <w:noProof/>
          <w:color w:val="1F3864" w:themeColor="accent5" w:themeShade="80"/>
          <w:sz w:val="36"/>
          <w:szCs w:val="36"/>
        </w:rPr>
        <mc:AlternateContent>
          <mc:Choice Requires="wps">
            <w:drawing>
              <wp:anchor distT="45720" distB="45720" distL="114300" distR="114300" simplePos="0" relativeHeight="251660306" behindDoc="0" locked="0" layoutInCell="1" allowOverlap="1" wp14:anchorId="5069C82F" wp14:editId="106CDD18">
                <wp:simplePos x="0" y="0"/>
                <wp:positionH relativeFrom="column">
                  <wp:posOffset>4780915</wp:posOffset>
                </wp:positionH>
                <wp:positionV relativeFrom="paragraph">
                  <wp:posOffset>299720</wp:posOffset>
                </wp:positionV>
                <wp:extent cx="1971675" cy="1362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362075"/>
                        </a:xfrm>
                        <a:prstGeom prst="rect">
                          <a:avLst/>
                        </a:prstGeom>
                        <a:solidFill>
                          <a:srgbClr val="FFFFFF"/>
                        </a:solidFill>
                        <a:ln w="9525">
                          <a:solidFill>
                            <a:srgbClr val="000000"/>
                          </a:solidFill>
                          <a:miter lim="800000"/>
                          <a:headEnd/>
                          <a:tailEnd/>
                        </a:ln>
                      </wps:spPr>
                      <wps:txbx>
                        <w:txbxContent>
                          <w:p w14:paraId="2A66098C" w14:textId="3A8E0038" w:rsidR="00E36220" w:rsidRPr="00E36220" w:rsidRDefault="00E36220">
                            <w:pPr>
                              <w:rPr>
                                <w:color w:val="7030A0"/>
                                <w:sz w:val="24"/>
                                <w:szCs w:val="24"/>
                              </w:rPr>
                            </w:pPr>
                            <w:r w:rsidRPr="00E36220">
                              <w:rPr>
                                <w:color w:val="7030A0"/>
                                <w:sz w:val="24"/>
                                <w:szCs w:val="24"/>
                              </w:rPr>
                              <w:t>S&amp;P 500: 15.71%</w:t>
                            </w:r>
                          </w:p>
                          <w:p w14:paraId="60CF22B4" w14:textId="352BC0E4" w:rsidR="00E36220" w:rsidRPr="00E36220" w:rsidRDefault="00E36220">
                            <w:pPr>
                              <w:rPr>
                                <w:color w:val="00B0F0"/>
                                <w:sz w:val="24"/>
                                <w:szCs w:val="24"/>
                              </w:rPr>
                            </w:pPr>
                            <w:r w:rsidRPr="00E36220">
                              <w:rPr>
                                <w:color w:val="00B0F0"/>
                                <w:sz w:val="24"/>
                                <w:szCs w:val="24"/>
                              </w:rPr>
                              <w:t>Morgan Stanley: 12.08%</w:t>
                            </w:r>
                          </w:p>
                          <w:p w14:paraId="6A93C20B" w14:textId="41880A52" w:rsidR="00E36220" w:rsidRPr="00E36220" w:rsidRDefault="00E36220">
                            <w:pPr>
                              <w:rPr>
                                <w:sz w:val="24"/>
                                <w:szCs w:val="24"/>
                              </w:rPr>
                            </w:pPr>
                          </w:p>
                          <w:p w14:paraId="1B00BBF7" w14:textId="76A8C600" w:rsidR="00E36220" w:rsidRPr="00E36220" w:rsidRDefault="00E36220">
                            <w:pPr>
                              <w:rPr>
                                <w:color w:val="70AD47" w:themeColor="accent6"/>
                                <w:sz w:val="24"/>
                                <w:szCs w:val="24"/>
                              </w:rPr>
                            </w:pPr>
                            <w:r w:rsidRPr="00E36220">
                              <w:rPr>
                                <w:color w:val="70AD47" w:themeColor="accent6"/>
                                <w:sz w:val="24"/>
                                <w:szCs w:val="24"/>
                              </w:rPr>
                              <w:t>S&amp;P 500 Financial: -10.87%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C82F" id="_x0000_s1027" type="#_x0000_t202" style="position:absolute;margin-left:376.45pt;margin-top:23.6pt;width:155.25pt;height:107.25pt;z-index:25166030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D4JwIAAE4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">
                <v:textbox>
                  <w:txbxContent>
                    <w:p w14:paraId="2A66098C" w14:textId="3A8E0038" w:rsidR="00E36220" w:rsidRPr="00E36220" w:rsidRDefault="00E36220">
                      <w:pPr>
                        <w:rPr>
                          <w:color w:val="7030A0"/>
                          <w:sz w:val="24"/>
                          <w:szCs w:val="24"/>
                        </w:rPr>
                      </w:pPr>
                      <w:r w:rsidRPr="00E36220">
                        <w:rPr>
                          <w:color w:val="7030A0"/>
                          <w:sz w:val="24"/>
                          <w:szCs w:val="24"/>
                        </w:rPr>
                        <w:t>S&amp;P 500: 15.71%</w:t>
                      </w:r>
                    </w:p>
                    <w:p w14:paraId="60CF22B4" w14:textId="352BC0E4" w:rsidR="00E36220" w:rsidRPr="00E36220" w:rsidRDefault="00E36220">
                      <w:pPr>
                        <w:rPr>
                          <w:color w:val="00B0F0"/>
                          <w:sz w:val="24"/>
                          <w:szCs w:val="24"/>
                        </w:rPr>
                      </w:pPr>
                      <w:r w:rsidRPr="00E36220">
                        <w:rPr>
                          <w:color w:val="00B0F0"/>
                          <w:sz w:val="24"/>
                          <w:szCs w:val="24"/>
                        </w:rPr>
                        <w:t>Morgan Stanley: 12.08%</w:t>
                      </w:r>
                    </w:p>
                    <w:p w14:paraId="6A93C20B" w14:textId="41880A52" w:rsidR="00E36220" w:rsidRPr="00E36220" w:rsidRDefault="00E36220">
                      <w:pPr>
                        <w:rPr>
                          <w:sz w:val="24"/>
                          <w:szCs w:val="24"/>
                        </w:rPr>
                      </w:pPr>
                    </w:p>
                    <w:p w14:paraId="1B00BBF7" w14:textId="76A8C600" w:rsidR="00E36220" w:rsidRPr="00E36220" w:rsidRDefault="00E36220">
                      <w:pPr>
                        <w:rPr>
                          <w:color w:val="70AD47" w:themeColor="accent6"/>
                          <w:sz w:val="24"/>
                          <w:szCs w:val="24"/>
                        </w:rPr>
                      </w:pPr>
                      <w:r w:rsidRPr="00E36220">
                        <w:rPr>
                          <w:color w:val="70AD47" w:themeColor="accent6"/>
                          <w:sz w:val="24"/>
                          <w:szCs w:val="24"/>
                        </w:rPr>
                        <w:t>S&amp;P 500 Financial: -10.87%</w:t>
                      </w:r>
                    </w:p>
                  </w:txbxContent>
                </v:textbox>
                <w10:wrap type="square"/>
              </v:shape>
            </w:pict>
          </mc:Fallback>
        </mc:AlternateContent>
      </w:r>
      <w:r w:rsidR="005538BB" w:rsidRPr="000E71E8">
        <w:rPr>
          <w:noProof/>
        </w:rPr>
        <w:drawing>
          <wp:anchor distT="0" distB="0" distL="114300" distR="114300" simplePos="0" relativeHeight="251658248" behindDoc="1" locked="0" layoutInCell="1" allowOverlap="1" wp14:anchorId="7CAFDDCE" wp14:editId="3C7E83F7">
            <wp:simplePos x="0" y="0"/>
            <wp:positionH relativeFrom="margin">
              <wp:posOffset>409575</wp:posOffset>
            </wp:positionH>
            <wp:positionV relativeFrom="paragraph">
              <wp:posOffset>13970</wp:posOffset>
            </wp:positionV>
            <wp:extent cx="4191000" cy="1863725"/>
            <wp:effectExtent l="0" t="0" r="0"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191000" cy="186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2BBB">
        <w:rPr>
          <w:b/>
          <w:bCs/>
          <w:color w:val="1F4E79" w:themeColor="accent1" w:themeShade="80"/>
          <w:sz w:val="32"/>
          <w:szCs w:val="32"/>
        </w:rPr>
        <w:t xml:space="preserve">     </w:t>
      </w:r>
    </w:p>
    <w:p w14:paraId="7B410C67" w14:textId="62F2257C" w:rsidR="00002685" w:rsidRDefault="00002685"/>
    <w:p w14:paraId="69B3E908" w14:textId="0F830E96" w:rsidR="00002685" w:rsidRDefault="00002685"/>
    <w:p w14:paraId="2F8EC453" w14:textId="4738802D" w:rsidR="00002685" w:rsidRDefault="00002685"/>
    <w:p w14:paraId="2BC844AF" w14:textId="3B3F7617" w:rsidR="00002685" w:rsidRDefault="00002685"/>
    <w:p w14:paraId="37EBC936" w14:textId="67B5D4A6" w:rsidR="00002685" w:rsidRDefault="00002685"/>
    <w:p w14:paraId="7F731EC5" w14:textId="2F662F95" w:rsidR="00002685" w:rsidRDefault="00002685"/>
    <w:p w14:paraId="1442227C" w14:textId="4E2BF268" w:rsidR="00011638" w:rsidRPr="000E71E8" w:rsidRDefault="00684B15">
      <w:r>
        <w:rPr>
          <w:b/>
          <w:bCs/>
          <w:noProof/>
          <w:color w:val="5B9BD5" w:themeColor="accent1"/>
          <w:sz w:val="32"/>
          <w:szCs w:val="32"/>
        </w:rPr>
        <mc:AlternateContent>
          <mc:Choice Requires="wps">
            <w:drawing>
              <wp:anchor distT="0" distB="0" distL="114300" distR="114300" simplePos="0" relativeHeight="251658240" behindDoc="0" locked="0" layoutInCell="1" allowOverlap="1" wp14:anchorId="2AC110C8" wp14:editId="35B704E2">
                <wp:simplePos x="0" y="0"/>
                <wp:positionH relativeFrom="margin">
                  <wp:align>left</wp:align>
                </wp:positionH>
                <wp:positionV relativeFrom="paragraph">
                  <wp:posOffset>584530</wp:posOffset>
                </wp:positionV>
                <wp:extent cx="5969000" cy="82550"/>
                <wp:effectExtent l="0" t="0" r="0" b="0"/>
                <wp:wrapNone/>
                <wp:docPr id="6" name="Rectangle 6"/>
                <wp:cNvGraphicFramePr/>
                <a:graphic xmlns:a="http://schemas.openxmlformats.org/drawingml/2006/main">
                  <a:graphicData uri="http://schemas.microsoft.com/office/word/2010/wordprocessingShape">
                    <wps:wsp>
                      <wps:cNvSpPr/>
                      <wps:spPr>
                        <a:xfrm>
                          <a:off x="0" y="0"/>
                          <a:ext cx="5969000" cy="8255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7EA4F74" id="Rectangle 6" o:spid="_x0000_s1026" style="position:absolute;margin-left:0;margin-top:46.05pt;width:470pt;height: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" fillcolor="#ffc000 [3207]" stroked="f" strokeweight="1pt">
                <w10:wrap anchorx="margin"/>
              </v:rect>
            </w:pict>
          </mc:Fallback>
        </mc:AlternateContent>
      </w:r>
      <w:r w:rsidR="00392325">
        <w:t xml:space="preserve"> </w:t>
      </w:r>
      <w:r w:rsidR="0004238A" w:rsidRPr="0004238A">
        <w:t>We can see although COVID-19 affect a lot on Financial market, Morgan Stanley’s growth is still performing around the index of S&amp;P 500. From this case, we can oversee that as the vaccine and another stimulus from government or the Fed. There will be a better improvement for Morgan Stanley.</w:t>
      </w:r>
    </w:p>
    <w:p w14:paraId="444167DA" w14:textId="5DB8F06D" w:rsidR="00090DDF" w:rsidRPr="00864471" w:rsidRDefault="00090DDF" w:rsidP="00864471">
      <w:pPr>
        <w:rPr>
          <w:b/>
          <w:bCs/>
          <w:color w:val="1F4E79" w:themeColor="accent1" w:themeShade="80"/>
          <w:sz w:val="32"/>
          <w:szCs w:val="32"/>
        </w:rPr>
      </w:pPr>
      <w:r>
        <w:rPr>
          <w:b/>
          <w:bCs/>
          <w:color w:val="1F3864" w:themeColor="accent5" w:themeShade="80"/>
          <w:sz w:val="36"/>
          <w:szCs w:val="36"/>
        </w:rPr>
        <w:t>Peer Analysis:</w:t>
      </w:r>
    </w:p>
    <w:tbl>
      <w:tblPr>
        <w:tblW w:w="10395" w:type="dxa"/>
        <w:tblLook w:val="04A0" w:firstRow="1" w:lastRow="0" w:firstColumn="1" w:lastColumn="0" w:noHBand="0" w:noVBand="1"/>
      </w:tblPr>
      <w:tblGrid>
        <w:gridCol w:w="2079"/>
        <w:gridCol w:w="2079"/>
        <w:gridCol w:w="2079"/>
        <w:gridCol w:w="2079"/>
        <w:gridCol w:w="2079"/>
      </w:tblGrid>
      <w:tr w:rsidR="00090DDF" w:rsidRPr="00090DDF" w14:paraId="5B3B6A68" w14:textId="77777777" w:rsidTr="00090DDF">
        <w:trPr>
          <w:trHeight w:val="981"/>
        </w:trPr>
        <w:tc>
          <w:tcPr>
            <w:tcW w:w="2079" w:type="dxa"/>
            <w:tcBorders>
              <w:top w:val="nil"/>
              <w:left w:val="nil"/>
              <w:bottom w:val="single" w:sz="4" w:space="0" w:color="auto"/>
              <w:right w:val="nil"/>
            </w:tcBorders>
            <w:shd w:val="clear" w:color="auto" w:fill="auto"/>
            <w:vAlign w:val="center"/>
            <w:hideMark/>
          </w:tcPr>
          <w:p w14:paraId="2ADB66F5" w14:textId="77777777"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Company</w:t>
            </w:r>
          </w:p>
        </w:tc>
        <w:tc>
          <w:tcPr>
            <w:tcW w:w="2079" w:type="dxa"/>
            <w:tcBorders>
              <w:top w:val="nil"/>
              <w:left w:val="nil"/>
              <w:bottom w:val="single" w:sz="4" w:space="0" w:color="auto"/>
              <w:right w:val="nil"/>
            </w:tcBorders>
            <w:shd w:val="clear" w:color="auto" w:fill="auto"/>
            <w:vAlign w:val="center"/>
            <w:hideMark/>
          </w:tcPr>
          <w:p w14:paraId="3E0990E8" w14:textId="6C2A9506"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 xml:space="preserve">Market </w:t>
            </w:r>
            <w:r w:rsidR="00707E6A" w:rsidRPr="00090DDF">
              <w:rPr>
                <w:rFonts w:ascii="Calibri" w:eastAsia="Times New Roman" w:hAnsi="Calibri" w:cs="Calibri"/>
                <w:b/>
                <w:bCs/>
                <w:color w:val="000000"/>
              </w:rPr>
              <w:t>Capitalization</w:t>
            </w:r>
            <w:r w:rsidRPr="00090DDF">
              <w:rPr>
                <w:rFonts w:ascii="Calibri" w:eastAsia="Times New Roman" w:hAnsi="Calibri" w:cs="Calibri"/>
                <w:b/>
                <w:bCs/>
                <w:color w:val="000000"/>
              </w:rPr>
              <w:t xml:space="preserve"> (B$)</w:t>
            </w:r>
          </w:p>
        </w:tc>
        <w:tc>
          <w:tcPr>
            <w:tcW w:w="2079" w:type="dxa"/>
            <w:tcBorders>
              <w:top w:val="nil"/>
              <w:left w:val="nil"/>
              <w:bottom w:val="single" w:sz="4" w:space="0" w:color="auto"/>
              <w:right w:val="nil"/>
            </w:tcBorders>
            <w:shd w:val="clear" w:color="auto" w:fill="auto"/>
            <w:vAlign w:val="center"/>
            <w:hideMark/>
          </w:tcPr>
          <w:p w14:paraId="1008EE33" w14:textId="1D96F976"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P/E (</w:t>
            </w:r>
            <w:r w:rsidR="004C6109">
              <w:rPr>
                <w:rFonts w:ascii="Calibri" w:eastAsia="Times New Roman" w:hAnsi="Calibri" w:cs="Calibri"/>
                <w:b/>
                <w:bCs/>
                <w:color w:val="000000"/>
              </w:rPr>
              <w:t>L</w:t>
            </w:r>
            <w:r w:rsidRPr="00090DDF">
              <w:rPr>
                <w:rFonts w:ascii="Calibri" w:eastAsia="Times New Roman" w:hAnsi="Calibri" w:cs="Calibri"/>
                <w:b/>
                <w:bCs/>
                <w:color w:val="000000"/>
              </w:rPr>
              <w:t>TM)</w:t>
            </w:r>
          </w:p>
        </w:tc>
        <w:tc>
          <w:tcPr>
            <w:tcW w:w="2079" w:type="dxa"/>
            <w:tcBorders>
              <w:top w:val="nil"/>
              <w:left w:val="nil"/>
              <w:bottom w:val="single" w:sz="4" w:space="0" w:color="auto"/>
              <w:right w:val="nil"/>
            </w:tcBorders>
            <w:shd w:val="clear" w:color="auto" w:fill="auto"/>
            <w:vAlign w:val="center"/>
            <w:hideMark/>
          </w:tcPr>
          <w:p w14:paraId="41A6CCCE" w14:textId="14A572B0"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Net Income 2019 (</w:t>
            </w:r>
            <w:r w:rsidR="007D1C4F">
              <w:rPr>
                <w:rFonts w:ascii="Calibri" w:eastAsia="Times New Roman" w:hAnsi="Calibri" w:cs="Calibri"/>
                <w:b/>
                <w:bCs/>
                <w:color w:val="000000"/>
              </w:rPr>
              <w:t>B</w:t>
            </w:r>
            <w:r w:rsidRPr="00090DDF">
              <w:rPr>
                <w:rFonts w:ascii="Calibri" w:eastAsia="Times New Roman" w:hAnsi="Calibri" w:cs="Calibri"/>
                <w:b/>
                <w:bCs/>
                <w:color w:val="000000"/>
              </w:rPr>
              <w:t>$)</w:t>
            </w:r>
          </w:p>
        </w:tc>
        <w:tc>
          <w:tcPr>
            <w:tcW w:w="2079" w:type="dxa"/>
            <w:tcBorders>
              <w:top w:val="nil"/>
              <w:left w:val="nil"/>
              <w:bottom w:val="single" w:sz="4" w:space="0" w:color="auto"/>
              <w:right w:val="nil"/>
            </w:tcBorders>
            <w:shd w:val="clear" w:color="auto" w:fill="auto"/>
            <w:vAlign w:val="center"/>
            <w:hideMark/>
          </w:tcPr>
          <w:p w14:paraId="370BD01B" w14:textId="6F39A2C4" w:rsidR="00090DDF" w:rsidRPr="00090DDF" w:rsidRDefault="00090DDF" w:rsidP="00090DDF">
            <w:pPr>
              <w:spacing w:after="0" w:line="240" w:lineRule="auto"/>
              <w:rPr>
                <w:rFonts w:ascii="Calibri" w:eastAsia="Times New Roman" w:hAnsi="Calibri" w:cs="Calibri"/>
                <w:b/>
                <w:bCs/>
                <w:color w:val="000000"/>
              </w:rPr>
            </w:pPr>
            <w:r w:rsidRPr="00090DDF">
              <w:rPr>
                <w:rFonts w:ascii="Calibri" w:eastAsia="Times New Roman" w:hAnsi="Calibri" w:cs="Calibri"/>
                <w:b/>
                <w:bCs/>
                <w:color w:val="000000"/>
              </w:rPr>
              <w:t>ROA % (5 Year Average)</w:t>
            </w:r>
          </w:p>
        </w:tc>
      </w:tr>
      <w:tr w:rsidR="00090DDF" w:rsidRPr="00090DDF" w14:paraId="2D4DCE4A" w14:textId="77777777" w:rsidTr="00090DDF">
        <w:trPr>
          <w:trHeight w:val="289"/>
        </w:trPr>
        <w:tc>
          <w:tcPr>
            <w:tcW w:w="2079" w:type="dxa"/>
            <w:tcBorders>
              <w:top w:val="nil"/>
              <w:left w:val="nil"/>
              <w:bottom w:val="nil"/>
              <w:right w:val="nil"/>
            </w:tcBorders>
            <w:shd w:val="clear" w:color="auto" w:fill="auto"/>
            <w:noWrap/>
            <w:vAlign w:val="bottom"/>
            <w:hideMark/>
          </w:tcPr>
          <w:p w14:paraId="116E0661" w14:textId="26E1CCA5" w:rsidR="00090DDF" w:rsidRPr="00090DDF" w:rsidRDefault="0004238A" w:rsidP="00090DDF">
            <w:pPr>
              <w:spacing w:after="0" w:line="240" w:lineRule="auto"/>
              <w:rPr>
                <w:rFonts w:ascii="Calibri" w:eastAsia="Times New Roman" w:hAnsi="Calibri" w:cs="Calibri"/>
                <w:color w:val="000000"/>
              </w:rPr>
            </w:pPr>
            <w:r>
              <w:rPr>
                <w:rFonts w:ascii="Calibri" w:eastAsia="Times New Roman" w:hAnsi="Calibri" w:cs="Calibri"/>
                <w:color w:val="000000"/>
              </w:rPr>
              <w:t>Morgan Stanley</w:t>
            </w:r>
          </w:p>
        </w:tc>
        <w:tc>
          <w:tcPr>
            <w:tcW w:w="2079" w:type="dxa"/>
            <w:tcBorders>
              <w:top w:val="nil"/>
              <w:left w:val="nil"/>
              <w:bottom w:val="nil"/>
              <w:right w:val="nil"/>
            </w:tcBorders>
            <w:shd w:val="clear" w:color="000000" w:fill="9BC2E6"/>
            <w:noWrap/>
            <w:vAlign w:val="bottom"/>
            <w:hideMark/>
          </w:tcPr>
          <w:p w14:paraId="44F76E9C" w14:textId="5992DD31"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BE12C1">
              <w:rPr>
                <w:rFonts w:ascii="Calibri" w:eastAsia="Times New Roman" w:hAnsi="Calibri" w:cs="Calibri"/>
                <w:color w:val="000000"/>
              </w:rPr>
              <w:t xml:space="preserve">  </w:t>
            </w:r>
            <w:r w:rsidRPr="00090DDF">
              <w:rPr>
                <w:rFonts w:ascii="Calibri" w:eastAsia="Times New Roman" w:hAnsi="Calibri" w:cs="Calibri"/>
                <w:color w:val="000000"/>
              </w:rPr>
              <w:t xml:space="preserve"> </w:t>
            </w:r>
            <w:r w:rsidR="00BE12C1">
              <w:rPr>
                <w:rFonts w:ascii="Calibri" w:eastAsia="Times New Roman" w:hAnsi="Calibri" w:cs="Calibri"/>
                <w:color w:val="000000"/>
              </w:rPr>
              <w:t>87</w:t>
            </w:r>
            <w:r w:rsidRPr="00090DDF">
              <w:rPr>
                <w:rFonts w:ascii="Calibri" w:eastAsia="Times New Roman" w:hAnsi="Calibri" w:cs="Calibri"/>
                <w:color w:val="000000"/>
              </w:rPr>
              <w:t xml:space="preserve">.00 </w:t>
            </w:r>
          </w:p>
        </w:tc>
        <w:tc>
          <w:tcPr>
            <w:tcW w:w="2079" w:type="dxa"/>
            <w:tcBorders>
              <w:top w:val="nil"/>
              <w:left w:val="nil"/>
              <w:bottom w:val="nil"/>
              <w:right w:val="nil"/>
            </w:tcBorders>
            <w:shd w:val="clear" w:color="000000" w:fill="9BC2E6"/>
            <w:noWrap/>
            <w:vAlign w:val="bottom"/>
            <w:hideMark/>
          </w:tcPr>
          <w:p w14:paraId="635B396D" w14:textId="71083163" w:rsidR="00090DDF" w:rsidRPr="00090DDF" w:rsidRDefault="004C6109"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9</w:t>
            </w:r>
            <w:r w:rsidR="007D1C4F">
              <w:rPr>
                <w:rFonts w:ascii="Calibri" w:eastAsia="Times New Roman" w:hAnsi="Calibri" w:cs="Calibri"/>
                <w:color w:val="000000"/>
              </w:rPr>
              <w:t>.14</w:t>
            </w:r>
          </w:p>
        </w:tc>
        <w:tc>
          <w:tcPr>
            <w:tcW w:w="2079" w:type="dxa"/>
            <w:tcBorders>
              <w:top w:val="nil"/>
              <w:left w:val="nil"/>
              <w:bottom w:val="nil"/>
              <w:right w:val="nil"/>
            </w:tcBorders>
            <w:shd w:val="clear" w:color="000000" w:fill="9BC2E6"/>
            <w:noWrap/>
            <w:vAlign w:val="bottom"/>
            <w:hideMark/>
          </w:tcPr>
          <w:p w14:paraId="3DB6F3DF" w14:textId="371856F2"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9</w:t>
            </w:r>
            <w:r w:rsidRPr="00090DDF">
              <w:rPr>
                <w:rFonts w:ascii="Calibri" w:eastAsia="Times New Roman" w:hAnsi="Calibri" w:cs="Calibri"/>
                <w:color w:val="000000"/>
              </w:rPr>
              <w:t>.</w:t>
            </w:r>
            <w:r w:rsidR="007D1C4F">
              <w:rPr>
                <w:rFonts w:ascii="Calibri" w:eastAsia="Times New Roman" w:hAnsi="Calibri" w:cs="Calibri"/>
                <w:color w:val="000000"/>
              </w:rPr>
              <w:t>31</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000000" w:fill="9BC2E6"/>
            <w:noWrap/>
            <w:vAlign w:val="bottom"/>
            <w:hideMark/>
          </w:tcPr>
          <w:p w14:paraId="2EB693B8" w14:textId="3FE649EA" w:rsidR="00090DDF" w:rsidRPr="00090DDF" w:rsidRDefault="00D44115"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0.86</w:t>
            </w:r>
          </w:p>
        </w:tc>
      </w:tr>
      <w:tr w:rsidR="00090DDF" w:rsidRPr="00090DDF" w14:paraId="247FD937" w14:textId="77777777" w:rsidTr="00090DDF">
        <w:trPr>
          <w:trHeight w:val="289"/>
        </w:trPr>
        <w:tc>
          <w:tcPr>
            <w:tcW w:w="2079" w:type="dxa"/>
            <w:tcBorders>
              <w:top w:val="nil"/>
              <w:left w:val="nil"/>
              <w:bottom w:val="nil"/>
              <w:right w:val="nil"/>
            </w:tcBorders>
            <w:shd w:val="clear" w:color="auto" w:fill="auto"/>
            <w:noWrap/>
            <w:vAlign w:val="bottom"/>
            <w:hideMark/>
          </w:tcPr>
          <w:p w14:paraId="1CEFBB8F" w14:textId="1F4EAB70" w:rsidR="00090DDF" w:rsidRPr="00090DDF" w:rsidRDefault="0004238A" w:rsidP="00090DDF">
            <w:pPr>
              <w:spacing w:after="0" w:line="240" w:lineRule="auto"/>
              <w:rPr>
                <w:rFonts w:ascii="Calibri" w:eastAsia="Times New Roman" w:hAnsi="Calibri" w:cs="Calibri"/>
                <w:color w:val="000000"/>
              </w:rPr>
            </w:pPr>
            <w:r>
              <w:rPr>
                <w:rFonts w:ascii="Calibri" w:eastAsia="Times New Roman" w:hAnsi="Calibri" w:cs="Calibri"/>
                <w:color w:val="000000"/>
              </w:rPr>
              <w:t>JP. Morgan</w:t>
            </w:r>
          </w:p>
        </w:tc>
        <w:tc>
          <w:tcPr>
            <w:tcW w:w="2079" w:type="dxa"/>
            <w:tcBorders>
              <w:top w:val="nil"/>
              <w:left w:val="nil"/>
              <w:bottom w:val="nil"/>
              <w:right w:val="nil"/>
            </w:tcBorders>
            <w:shd w:val="clear" w:color="auto" w:fill="auto"/>
            <w:noWrap/>
            <w:vAlign w:val="bottom"/>
            <w:hideMark/>
          </w:tcPr>
          <w:p w14:paraId="33FB2C26" w14:textId="5974EEBF"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4C6109">
              <w:rPr>
                <w:rFonts w:ascii="Calibri" w:eastAsia="Times New Roman" w:hAnsi="Calibri" w:cs="Calibri"/>
                <w:color w:val="000000"/>
              </w:rPr>
              <w:t>298.85</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auto"/>
            <w:noWrap/>
            <w:vAlign w:val="bottom"/>
            <w:hideMark/>
          </w:tcPr>
          <w:p w14:paraId="45D9876B" w14:textId="3BF29A8D" w:rsidR="00090DDF" w:rsidRPr="00090DDF" w:rsidRDefault="007D1C4F"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12.78</w:t>
            </w:r>
          </w:p>
        </w:tc>
        <w:tc>
          <w:tcPr>
            <w:tcW w:w="2079" w:type="dxa"/>
            <w:tcBorders>
              <w:top w:val="nil"/>
              <w:left w:val="nil"/>
              <w:bottom w:val="nil"/>
              <w:right w:val="nil"/>
            </w:tcBorders>
            <w:shd w:val="clear" w:color="auto" w:fill="auto"/>
            <w:noWrap/>
            <w:vAlign w:val="bottom"/>
            <w:hideMark/>
          </w:tcPr>
          <w:p w14:paraId="452CF700" w14:textId="3E62784A"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23</w:t>
            </w:r>
            <w:r w:rsidRPr="00090DDF">
              <w:rPr>
                <w:rFonts w:ascii="Calibri" w:eastAsia="Times New Roman" w:hAnsi="Calibri" w:cs="Calibri"/>
                <w:color w:val="000000"/>
              </w:rPr>
              <w:t>.</w:t>
            </w:r>
            <w:r w:rsidR="007D1C4F">
              <w:rPr>
                <w:rFonts w:ascii="Calibri" w:eastAsia="Times New Roman" w:hAnsi="Calibri" w:cs="Calibri"/>
                <w:color w:val="000000"/>
              </w:rPr>
              <w:t>8</w:t>
            </w:r>
            <w:r w:rsidRPr="00090DDF">
              <w:rPr>
                <w:rFonts w:ascii="Calibri" w:eastAsia="Times New Roman" w:hAnsi="Calibri" w:cs="Calibri"/>
                <w:color w:val="000000"/>
              </w:rPr>
              <w:t xml:space="preserve">0 </w:t>
            </w:r>
          </w:p>
        </w:tc>
        <w:tc>
          <w:tcPr>
            <w:tcW w:w="2079" w:type="dxa"/>
            <w:tcBorders>
              <w:top w:val="nil"/>
              <w:left w:val="nil"/>
              <w:bottom w:val="nil"/>
              <w:right w:val="nil"/>
            </w:tcBorders>
            <w:shd w:val="clear" w:color="auto" w:fill="auto"/>
            <w:noWrap/>
            <w:vAlign w:val="bottom"/>
            <w:hideMark/>
          </w:tcPr>
          <w:p w14:paraId="690CA0C0" w14:textId="6D4D704B" w:rsidR="00090DDF" w:rsidRPr="00090DDF" w:rsidRDefault="00D44115"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r>
      <w:tr w:rsidR="00090DDF" w:rsidRPr="00090DDF" w14:paraId="532322D1" w14:textId="77777777" w:rsidTr="00090DDF">
        <w:trPr>
          <w:trHeight w:val="289"/>
        </w:trPr>
        <w:tc>
          <w:tcPr>
            <w:tcW w:w="2079" w:type="dxa"/>
            <w:tcBorders>
              <w:top w:val="nil"/>
              <w:left w:val="nil"/>
              <w:bottom w:val="nil"/>
              <w:right w:val="nil"/>
            </w:tcBorders>
            <w:shd w:val="clear" w:color="auto" w:fill="auto"/>
            <w:noWrap/>
            <w:vAlign w:val="bottom"/>
            <w:hideMark/>
          </w:tcPr>
          <w:p w14:paraId="57BCE94C" w14:textId="7FCF4726" w:rsidR="00090DDF" w:rsidRPr="00090DDF" w:rsidRDefault="004C6109" w:rsidP="00090DDF">
            <w:pPr>
              <w:spacing w:after="0" w:line="240" w:lineRule="auto"/>
              <w:rPr>
                <w:rFonts w:ascii="Calibri" w:eastAsia="Times New Roman" w:hAnsi="Calibri" w:cs="Calibri"/>
                <w:color w:val="000000"/>
              </w:rPr>
            </w:pPr>
            <w:r>
              <w:rPr>
                <w:rFonts w:ascii="Calibri" w:eastAsia="Times New Roman" w:hAnsi="Calibri" w:cs="Calibri"/>
                <w:color w:val="000000"/>
              </w:rPr>
              <w:t>UBS Group</w:t>
            </w:r>
          </w:p>
        </w:tc>
        <w:tc>
          <w:tcPr>
            <w:tcW w:w="2079" w:type="dxa"/>
            <w:tcBorders>
              <w:top w:val="nil"/>
              <w:left w:val="nil"/>
              <w:bottom w:val="nil"/>
              <w:right w:val="nil"/>
            </w:tcBorders>
            <w:shd w:val="clear" w:color="auto" w:fill="auto"/>
            <w:noWrap/>
            <w:vAlign w:val="bottom"/>
            <w:hideMark/>
          </w:tcPr>
          <w:p w14:paraId="054EEC0B" w14:textId="6C127742"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D44115">
              <w:rPr>
                <w:rFonts w:ascii="Calibri" w:eastAsia="Times New Roman" w:hAnsi="Calibri" w:cs="Calibri"/>
                <w:color w:val="000000"/>
              </w:rPr>
              <w:t xml:space="preserve">  </w:t>
            </w:r>
            <w:r w:rsidR="004C6109">
              <w:rPr>
                <w:rFonts w:ascii="Calibri" w:eastAsia="Times New Roman" w:hAnsi="Calibri" w:cs="Calibri"/>
                <w:color w:val="000000"/>
              </w:rPr>
              <w:t xml:space="preserve">  44.8</w:t>
            </w:r>
          </w:p>
        </w:tc>
        <w:tc>
          <w:tcPr>
            <w:tcW w:w="2079" w:type="dxa"/>
            <w:tcBorders>
              <w:top w:val="nil"/>
              <w:left w:val="nil"/>
              <w:bottom w:val="nil"/>
              <w:right w:val="nil"/>
            </w:tcBorders>
            <w:shd w:val="clear" w:color="auto" w:fill="auto"/>
            <w:noWrap/>
            <w:vAlign w:val="bottom"/>
            <w:hideMark/>
          </w:tcPr>
          <w:p w14:paraId="3FC216E5" w14:textId="7E54AE7B" w:rsidR="00090DDF" w:rsidRPr="00090DDF" w:rsidRDefault="004C6109"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7.1</w:t>
            </w:r>
          </w:p>
        </w:tc>
        <w:tc>
          <w:tcPr>
            <w:tcW w:w="2079" w:type="dxa"/>
            <w:tcBorders>
              <w:top w:val="nil"/>
              <w:left w:val="nil"/>
              <w:bottom w:val="nil"/>
              <w:right w:val="nil"/>
            </w:tcBorders>
            <w:shd w:val="clear" w:color="auto" w:fill="auto"/>
            <w:noWrap/>
            <w:vAlign w:val="bottom"/>
            <w:hideMark/>
          </w:tcPr>
          <w:p w14:paraId="13F5322D" w14:textId="3D2E9EFE"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w:t>
            </w:r>
            <w:r w:rsidR="004C6109">
              <w:rPr>
                <w:rFonts w:ascii="Calibri" w:eastAsia="Times New Roman" w:hAnsi="Calibri" w:cs="Calibri"/>
                <w:color w:val="000000"/>
              </w:rPr>
              <w:t xml:space="preserve">    5.6</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auto"/>
            <w:noWrap/>
            <w:vAlign w:val="bottom"/>
            <w:hideMark/>
          </w:tcPr>
          <w:p w14:paraId="409299CD" w14:textId="01EEA0D7" w:rsidR="00090DDF" w:rsidRPr="00090DDF" w:rsidRDefault="004C6109"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0.4</w:t>
            </w:r>
          </w:p>
        </w:tc>
      </w:tr>
      <w:tr w:rsidR="00090DDF" w:rsidRPr="00090DDF" w14:paraId="2DE5D5CB" w14:textId="77777777" w:rsidTr="00090DDF">
        <w:trPr>
          <w:trHeight w:val="289"/>
        </w:trPr>
        <w:tc>
          <w:tcPr>
            <w:tcW w:w="2079" w:type="dxa"/>
            <w:tcBorders>
              <w:top w:val="nil"/>
              <w:left w:val="nil"/>
              <w:bottom w:val="nil"/>
              <w:right w:val="nil"/>
            </w:tcBorders>
            <w:shd w:val="clear" w:color="auto" w:fill="auto"/>
            <w:noWrap/>
            <w:vAlign w:val="bottom"/>
            <w:hideMark/>
          </w:tcPr>
          <w:p w14:paraId="05FB817F" w14:textId="58714ACD" w:rsidR="00090DDF" w:rsidRPr="0004238A" w:rsidRDefault="0004238A" w:rsidP="00090DDF">
            <w:pPr>
              <w:spacing w:after="0" w:line="240" w:lineRule="auto"/>
              <w:rPr>
                <w:rFonts w:ascii="Calibri" w:eastAsia="DengXian" w:hAnsi="Calibri" w:cs="Calibri"/>
                <w:color w:val="000000"/>
                <w:lang w:eastAsia="zh-CN"/>
              </w:rPr>
            </w:pPr>
            <w:r>
              <w:rPr>
                <w:rFonts w:ascii="Calibri" w:eastAsia="Times New Roman" w:hAnsi="Calibri" w:cs="Calibri"/>
                <w:color w:val="000000"/>
              </w:rPr>
              <w:t>Goldman Sachs</w:t>
            </w:r>
          </w:p>
        </w:tc>
        <w:tc>
          <w:tcPr>
            <w:tcW w:w="2079" w:type="dxa"/>
            <w:tcBorders>
              <w:top w:val="nil"/>
              <w:left w:val="nil"/>
              <w:bottom w:val="nil"/>
              <w:right w:val="nil"/>
            </w:tcBorders>
            <w:shd w:val="clear" w:color="auto" w:fill="auto"/>
            <w:noWrap/>
            <w:vAlign w:val="bottom"/>
            <w:hideMark/>
          </w:tcPr>
          <w:p w14:paraId="1CA3A940" w14:textId="6411250B"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BE12C1">
              <w:rPr>
                <w:rFonts w:ascii="Calibri" w:eastAsia="Times New Roman" w:hAnsi="Calibri" w:cs="Calibri"/>
                <w:color w:val="000000"/>
              </w:rPr>
              <w:t xml:space="preserve">  65</w:t>
            </w:r>
            <w:r w:rsidRPr="00090DDF">
              <w:rPr>
                <w:rFonts w:ascii="Calibri" w:eastAsia="Times New Roman" w:hAnsi="Calibri" w:cs="Calibri"/>
                <w:color w:val="000000"/>
              </w:rPr>
              <w:t>.</w:t>
            </w:r>
            <w:r w:rsidR="00BE12C1">
              <w:rPr>
                <w:rFonts w:ascii="Calibri" w:eastAsia="Times New Roman" w:hAnsi="Calibri" w:cs="Calibri"/>
                <w:color w:val="000000"/>
              </w:rPr>
              <w:t>04</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auto"/>
            <w:noWrap/>
            <w:vAlign w:val="bottom"/>
            <w:hideMark/>
          </w:tcPr>
          <w:p w14:paraId="4DA0B3FF" w14:textId="1F99CF48" w:rsidR="00090DDF" w:rsidRPr="00090DDF" w:rsidRDefault="007D1C4F"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10.48</w:t>
            </w:r>
          </w:p>
        </w:tc>
        <w:tc>
          <w:tcPr>
            <w:tcW w:w="2079" w:type="dxa"/>
            <w:tcBorders>
              <w:top w:val="nil"/>
              <w:left w:val="nil"/>
              <w:bottom w:val="nil"/>
              <w:right w:val="nil"/>
            </w:tcBorders>
            <w:shd w:val="clear" w:color="auto" w:fill="auto"/>
            <w:noWrap/>
            <w:vAlign w:val="bottom"/>
            <w:hideMark/>
          </w:tcPr>
          <w:p w14:paraId="29261CDF" w14:textId="15795811"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6.53</w:t>
            </w:r>
            <w:r w:rsidRPr="00090DDF">
              <w:rPr>
                <w:rFonts w:ascii="Calibri" w:eastAsia="Times New Roman" w:hAnsi="Calibri" w:cs="Calibri"/>
                <w:color w:val="000000"/>
              </w:rPr>
              <w:t xml:space="preserve"> </w:t>
            </w:r>
          </w:p>
        </w:tc>
        <w:tc>
          <w:tcPr>
            <w:tcW w:w="2079" w:type="dxa"/>
            <w:tcBorders>
              <w:top w:val="nil"/>
              <w:left w:val="nil"/>
              <w:bottom w:val="nil"/>
              <w:right w:val="nil"/>
            </w:tcBorders>
            <w:shd w:val="clear" w:color="auto" w:fill="auto"/>
            <w:noWrap/>
            <w:vAlign w:val="bottom"/>
            <w:hideMark/>
          </w:tcPr>
          <w:p w14:paraId="362E6BAE" w14:textId="54B30399" w:rsidR="00090DDF" w:rsidRPr="00090DDF" w:rsidRDefault="00D44115"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0.812</w:t>
            </w:r>
          </w:p>
        </w:tc>
      </w:tr>
      <w:tr w:rsidR="00090DDF" w:rsidRPr="00090DDF" w14:paraId="3C591998" w14:textId="77777777" w:rsidTr="00090DDF">
        <w:trPr>
          <w:trHeight w:val="289"/>
        </w:trPr>
        <w:tc>
          <w:tcPr>
            <w:tcW w:w="2079" w:type="dxa"/>
            <w:tcBorders>
              <w:top w:val="nil"/>
              <w:left w:val="nil"/>
              <w:bottom w:val="nil"/>
              <w:right w:val="nil"/>
            </w:tcBorders>
            <w:shd w:val="clear" w:color="000000" w:fill="FFFF00"/>
            <w:noWrap/>
            <w:vAlign w:val="bottom"/>
            <w:hideMark/>
          </w:tcPr>
          <w:p w14:paraId="65478F95" w14:textId="05705497"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Peer Average</w:t>
            </w:r>
          </w:p>
        </w:tc>
        <w:tc>
          <w:tcPr>
            <w:tcW w:w="2079" w:type="dxa"/>
            <w:tcBorders>
              <w:top w:val="nil"/>
              <w:left w:val="nil"/>
              <w:bottom w:val="nil"/>
              <w:right w:val="nil"/>
            </w:tcBorders>
            <w:shd w:val="clear" w:color="000000" w:fill="FFFF00"/>
            <w:noWrap/>
            <w:vAlign w:val="bottom"/>
            <w:hideMark/>
          </w:tcPr>
          <w:p w14:paraId="055C21DF" w14:textId="36C39725"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D44115">
              <w:rPr>
                <w:rFonts w:ascii="Calibri" w:eastAsia="Times New Roman" w:hAnsi="Calibri" w:cs="Calibri"/>
                <w:color w:val="000000"/>
              </w:rPr>
              <w:t xml:space="preserve">  </w:t>
            </w:r>
            <w:r w:rsidR="004C6109">
              <w:rPr>
                <w:rFonts w:ascii="Calibri" w:eastAsia="Times New Roman" w:hAnsi="Calibri" w:cs="Calibri"/>
                <w:color w:val="000000"/>
              </w:rPr>
              <w:t>135.9</w:t>
            </w:r>
          </w:p>
        </w:tc>
        <w:tc>
          <w:tcPr>
            <w:tcW w:w="2079" w:type="dxa"/>
            <w:tcBorders>
              <w:top w:val="nil"/>
              <w:left w:val="nil"/>
              <w:bottom w:val="nil"/>
              <w:right w:val="nil"/>
            </w:tcBorders>
            <w:shd w:val="clear" w:color="000000" w:fill="FFFF00"/>
            <w:noWrap/>
            <w:vAlign w:val="bottom"/>
            <w:hideMark/>
          </w:tcPr>
          <w:p w14:paraId="3A8C1A37" w14:textId="75B04157" w:rsidR="00090DDF" w:rsidRPr="00090DDF" w:rsidRDefault="004C6109"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10.12</w:t>
            </w:r>
          </w:p>
        </w:tc>
        <w:tc>
          <w:tcPr>
            <w:tcW w:w="2079" w:type="dxa"/>
            <w:tcBorders>
              <w:top w:val="nil"/>
              <w:left w:val="nil"/>
              <w:bottom w:val="nil"/>
              <w:right w:val="nil"/>
            </w:tcBorders>
            <w:shd w:val="clear" w:color="000000" w:fill="FFFF00"/>
            <w:noWrap/>
            <w:vAlign w:val="bottom"/>
            <w:hideMark/>
          </w:tcPr>
          <w:p w14:paraId="2BD67E48" w14:textId="44339A58" w:rsidR="00090DDF" w:rsidRPr="00090DDF" w:rsidRDefault="00090DDF" w:rsidP="00090DDF">
            <w:pPr>
              <w:spacing w:after="0" w:line="240" w:lineRule="auto"/>
              <w:rPr>
                <w:rFonts w:ascii="Calibri" w:eastAsia="Times New Roman" w:hAnsi="Calibri" w:cs="Calibri"/>
                <w:color w:val="000000"/>
              </w:rPr>
            </w:pPr>
            <w:r w:rsidRPr="00090DDF">
              <w:rPr>
                <w:rFonts w:ascii="Calibri" w:eastAsia="Times New Roman" w:hAnsi="Calibri" w:cs="Calibri"/>
                <w:color w:val="000000"/>
              </w:rPr>
              <w:t xml:space="preserve"> $                 </w:t>
            </w:r>
            <w:r w:rsidR="007D1C4F">
              <w:rPr>
                <w:rFonts w:ascii="Calibri" w:eastAsia="Times New Roman" w:hAnsi="Calibri" w:cs="Calibri"/>
                <w:color w:val="000000"/>
              </w:rPr>
              <w:t xml:space="preserve">      </w:t>
            </w:r>
            <w:r w:rsidR="00D44115">
              <w:rPr>
                <w:rFonts w:ascii="Calibri" w:eastAsia="Times New Roman" w:hAnsi="Calibri" w:cs="Calibri"/>
                <w:color w:val="000000"/>
              </w:rPr>
              <w:t>11.</w:t>
            </w:r>
            <w:r w:rsidR="004C6109">
              <w:rPr>
                <w:rFonts w:ascii="Calibri" w:eastAsia="Times New Roman" w:hAnsi="Calibri" w:cs="Calibri"/>
                <w:color w:val="000000"/>
              </w:rPr>
              <w:t>97</w:t>
            </w:r>
          </w:p>
        </w:tc>
        <w:tc>
          <w:tcPr>
            <w:tcW w:w="2079" w:type="dxa"/>
            <w:tcBorders>
              <w:top w:val="nil"/>
              <w:left w:val="nil"/>
              <w:bottom w:val="nil"/>
              <w:right w:val="nil"/>
            </w:tcBorders>
            <w:shd w:val="clear" w:color="000000" w:fill="FFFF00"/>
            <w:noWrap/>
            <w:vAlign w:val="bottom"/>
            <w:hideMark/>
          </w:tcPr>
          <w:p w14:paraId="5EB762E0" w14:textId="2288DC43" w:rsidR="00090DDF" w:rsidRPr="00090DDF" w:rsidRDefault="00D44115" w:rsidP="00090DDF">
            <w:pPr>
              <w:spacing w:after="0" w:line="240" w:lineRule="auto"/>
              <w:jc w:val="right"/>
              <w:rPr>
                <w:rFonts w:ascii="Calibri" w:eastAsia="Times New Roman" w:hAnsi="Calibri" w:cs="Calibri"/>
                <w:color w:val="000000"/>
              </w:rPr>
            </w:pPr>
            <w:r>
              <w:rPr>
                <w:rFonts w:ascii="Calibri" w:eastAsia="Times New Roman" w:hAnsi="Calibri" w:cs="Calibri"/>
                <w:color w:val="000000"/>
              </w:rPr>
              <w:t>0.</w:t>
            </w:r>
            <w:r w:rsidR="004C6109">
              <w:rPr>
                <w:rFonts w:ascii="Calibri" w:eastAsia="Times New Roman" w:hAnsi="Calibri" w:cs="Calibri"/>
                <w:color w:val="000000"/>
              </w:rPr>
              <w:t>73</w:t>
            </w:r>
          </w:p>
        </w:tc>
      </w:tr>
    </w:tbl>
    <w:p w14:paraId="0ED44D81" w14:textId="5534E803" w:rsidR="00761A05" w:rsidRDefault="00761A05" w:rsidP="00E37220">
      <w:pPr>
        <w:outlineLvl w:val="0"/>
      </w:pPr>
      <w:r>
        <w:rPr>
          <w:b/>
          <w:bCs/>
          <w:noProof/>
          <w:color w:val="5B9BD5" w:themeColor="accent1"/>
          <w:sz w:val="32"/>
          <w:szCs w:val="32"/>
        </w:rPr>
        <mc:AlternateContent>
          <mc:Choice Requires="wps">
            <w:drawing>
              <wp:anchor distT="0" distB="0" distL="114300" distR="114300" simplePos="0" relativeHeight="251658257" behindDoc="0" locked="0" layoutInCell="1" allowOverlap="1" wp14:anchorId="6A006B4F" wp14:editId="67A16994">
                <wp:simplePos x="0" y="0"/>
                <wp:positionH relativeFrom="margin">
                  <wp:align>right</wp:align>
                </wp:positionH>
                <wp:positionV relativeFrom="paragraph">
                  <wp:posOffset>775335</wp:posOffset>
                </wp:positionV>
                <wp:extent cx="5969000" cy="82550"/>
                <wp:effectExtent l="0" t="0" r="0" b="0"/>
                <wp:wrapNone/>
                <wp:docPr id="39" name="Rectangle 39"/>
                <wp:cNvGraphicFramePr/>
                <a:graphic xmlns:a="http://schemas.openxmlformats.org/drawingml/2006/main">
                  <a:graphicData uri="http://schemas.microsoft.com/office/word/2010/wordprocessingShape">
                    <wps:wsp>
                      <wps:cNvSpPr/>
                      <wps:spPr>
                        <a:xfrm>
                          <a:off x="0" y="0"/>
                          <a:ext cx="5969000" cy="82550"/>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69287" id="Rectangle 39" o:spid="_x0000_s1026" style="position:absolute;margin-left:418.8pt;margin-top:61.05pt;width:470pt;height:6.5pt;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" fillcolor="#ffc000" stroked="f" strokeweight="1pt">
                <w10:wrap anchorx="margin"/>
              </v:rect>
            </w:pict>
          </mc:Fallback>
        </mc:AlternateContent>
      </w:r>
      <w:r>
        <w:t xml:space="preserve">We could see that Morgan Stanley has a </w:t>
      </w:r>
      <w:r w:rsidR="004C6109">
        <w:t>low</w:t>
      </w:r>
      <w:r>
        <w:t xml:space="preserve"> market capitalization from other peer companies. And Morgan Stanley has a lower P/E ratio than other companies. When we can expect a better return than others. and </w:t>
      </w:r>
      <w:proofErr w:type="gramStart"/>
      <w:r>
        <w:t>it’s</w:t>
      </w:r>
      <w:proofErr w:type="gramEnd"/>
      <w:r>
        <w:t xml:space="preserve"> 5 years average ROA are </w:t>
      </w:r>
      <w:r w:rsidR="00F90AF6">
        <w:t>higher</w:t>
      </w:r>
      <w:r>
        <w:t xml:space="preserve"> than peer average, which</w:t>
      </w:r>
      <w:r w:rsidR="00F90AF6">
        <w:t xml:space="preserve"> indicates a Morgan Stanley perform a healthy growth in its expansion</w:t>
      </w:r>
      <w:r>
        <w:t xml:space="preserve">. </w:t>
      </w:r>
    </w:p>
    <w:p w14:paraId="73BB4231" w14:textId="3F71E112" w:rsidR="00CA1C0B" w:rsidRPr="004813CA" w:rsidRDefault="002128C4" w:rsidP="00E37220">
      <w:pPr>
        <w:outlineLvl w:val="0"/>
        <w:rPr>
          <w:b/>
          <w:bCs/>
          <w:color w:val="1F3864" w:themeColor="accent5" w:themeShade="80"/>
          <w:sz w:val="36"/>
          <w:szCs w:val="36"/>
        </w:rPr>
      </w:pPr>
      <w:r w:rsidRPr="004813CA">
        <w:rPr>
          <w:b/>
          <w:bCs/>
          <w:color w:val="1F3864" w:themeColor="accent5" w:themeShade="80"/>
          <w:sz w:val="36"/>
          <w:szCs w:val="36"/>
        </w:rPr>
        <w:t>Ownership</w:t>
      </w:r>
      <w:r w:rsidR="007F2B02">
        <w:rPr>
          <w:b/>
          <w:bCs/>
          <w:color w:val="1F3864" w:themeColor="accent5" w:themeShade="80"/>
          <w:sz w:val="36"/>
          <w:szCs w:val="36"/>
        </w:rPr>
        <w:t>:</w:t>
      </w:r>
    </w:p>
    <w:p w14:paraId="1D85ACF0" w14:textId="29479C0F" w:rsidR="002128C4" w:rsidRPr="00761A05" w:rsidRDefault="00A608EF">
      <w:r>
        <w:rPr>
          <w:b/>
          <w:bCs/>
          <w:color w:val="2E74B5" w:themeColor="accent1" w:themeShade="BF"/>
          <w:sz w:val="24"/>
          <w:szCs w:val="24"/>
        </w:rPr>
        <w:t>Insider VS Institutional/Mutual Funds</w:t>
      </w:r>
      <w:r w:rsidR="00556883">
        <w:rPr>
          <w:b/>
          <w:bCs/>
          <w:color w:val="2E74B5" w:themeColor="accent1" w:themeShade="BF"/>
          <w:sz w:val="24"/>
          <w:szCs w:val="24"/>
        </w:rPr>
        <w:t xml:space="preserve">                           Top 5 Shareholders</w:t>
      </w:r>
      <w:r w:rsidR="00FF6E4E">
        <w:t xml:space="preserve">           </w:t>
      </w:r>
      <w:r w:rsidR="00515874">
        <w:t xml:space="preserve"> </w:t>
      </w:r>
      <w:r w:rsidR="00761A05">
        <w:rPr>
          <w:noProof/>
        </w:rPr>
        <w:drawing>
          <wp:inline distT="0" distB="0" distL="0" distR="0" wp14:anchorId="4DE77178" wp14:editId="274FD8AB">
            <wp:extent cx="2427857" cy="1265555"/>
            <wp:effectExtent l="0" t="0" r="0" b="0"/>
            <wp:docPr id="8" name="Picture 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unburst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44704" cy="1274337"/>
                    </a:xfrm>
                    <a:prstGeom prst="rect">
                      <a:avLst/>
                    </a:prstGeom>
                  </pic:spPr>
                </pic:pic>
              </a:graphicData>
            </a:graphic>
          </wp:inline>
        </w:drawing>
      </w:r>
      <w:r w:rsidR="006A3B4C">
        <w:rPr>
          <w:noProof/>
        </w:rPr>
        <w:drawing>
          <wp:inline distT="0" distB="0" distL="0" distR="0" wp14:anchorId="3B3ABF38" wp14:editId="5DD49E33">
            <wp:extent cx="2180493" cy="1287854"/>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80493" cy="1287854"/>
                    </a:xfrm>
                    <a:prstGeom prst="rect">
                      <a:avLst/>
                    </a:prstGeom>
                    <a:noFill/>
                  </pic:spPr>
                </pic:pic>
              </a:graphicData>
            </a:graphic>
          </wp:inline>
        </w:drawing>
      </w:r>
    </w:p>
    <w:sectPr w:rsidR="002128C4" w:rsidRPr="00761A0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41B9E" w14:textId="77777777" w:rsidR="00C16A5F" w:rsidRDefault="00C16A5F" w:rsidP="00A34EFB">
      <w:pPr>
        <w:spacing w:after="0" w:line="240" w:lineRule="auto"/>
      </w:pPr>
      <w:r>
        <w:separator/>
      </w:r>
    </w:p>
  </w:endnote>
  <w:endnote w:type="continuationSeparator" w:id="0">
    <w:p w14:paraId="0F32A4E8" w14:textId="77777777" w:rsidR="00C16A5F" w:rsidRDefault="00C16A5F" w:rsidP="00A34EFB">
      <w:pPr>
        <w:spacing w:after="0" w:line="240" w:lineRule="auto"/>
      </w:pPr>
      <w:r>
        <w:continuationSeparator/>
      </w:r>
    </w:p>
  </w:endnote>
  <w:endnote w:type="continuationNotice" w:id="1">
    <w:p w14:paraId="34D1E42F" w14:textId="77777777" w:rsidR="00C16A5F" w:rsidRDefault="00C16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arlow Solid Italic">
    <w:panose1 w:val="04030604020F02020D02"/>
    <w:charset w:val="00"/>
    <w:family w:val="decorativ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1D7C5E" w:rsidRPr="001D7C5E">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D2BC" w14:textId="77777777" w:rsidR="00C16A5F" w:rsidRDefault="00C16A5F" w:rsidP="00A34EFB">
      <w:pPr>
        <w:spacing w:after="0" w:line="240" w:lineRule="auto"/>
      </w:pPr>
      <w:r>
        <w:separator/>
      </w:r>
    </w:p>
  </w:footnote>
  <w:footnote w:type="continuationSeparator" w:id="0">
    <w:p w14:paraId="39E7DE1E" w14:textId="77777777" w:rsidR="00C16A5F" w:rsidRDefault="00C16A5F" w:rsidP="00A34EFB">
      <w:pPr>
        <w:spacing w:after="0" w:line="240" w:lineRule="auto"/>
      </w:pPr>
      <w:r>
        <w:continuationSeparator/>
      </w:r>
    </w:p>
  </w:footnote>
  <w:footnote w:type="continuationNotice" w:id="1">
    <w:p w14:paraId="48B92A04" w14:textId="77777777" w:rsidR="00C16A5F" w:rsidRDefault="00C16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27B2" w14:textId="00BF1BA3" w:rsidR="0009473A"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658240"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60000171" w14:textId="1E8CCADA" w:rsidR="00475F7E" w:rsidRPr="00CF54C8" w:rsidRDefault="00EB554D"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Pr>
        <w:rFonts w:asciiTheme="minorHAnsi" w:eastAsiaTheme="minorEastAsia" w:hAnsiTheme="minorHAnsi" w:cstheme="minorHAnsi"/>
        <w:b/>
        <w:color w:val="1F4E79" w:themeColor="accent1" w:themeShade="80"/>
        <w:kern w:val="24"/>
      </w:rPr>
      <w:t>Fall</w:t>
    </w:r>
    <w:r w:rsidR="00FC669A">
      <w:rPr>
        <w:rFonts w:asciiTheme="minorHAnsi" w:eastAsiaTheme="minorEastAsia" w:hAnsiTheme="minorHAnsi" w:cstheme="minorHAnsi"/>
        <w:b/>
        <w:color w:val="1F4E79" w:themeColor="accent1" w:themeShade="80"/>
        <w:kern w:val="24"/>
      </w:rPr>
      <w:t xml:space="preserve"> 2020</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004E"/>
    <w:multiLevelType w:val="hybridMultilevel"/>
    <w:tmpl w:val="D72E81CC"/>
    <w:lvl w:ilvl="0" w:tplc="F3161FA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A1309"/>
    <w:multiLevelType w:val="hybridMultilevel"/>
    <w:tmpl w:val="E924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34EFB"/>
    <w:rsid w:val="00002685"/>
    <w:rsid w:val="00003826"/>
    <w:rsid w:val="00005883"/>
    <w:rsid w:val="000077D8"/>
    <w:rsid w:val="00007DA2"/>
    <w:rsid w:val="00010149"/>
    <w:rsid w:val="00011638"/>
    <w:rsid w:val="0001303D"/>
    <w:rsid w:val="000138ED"/>
    <w:rsid w:val="00015084"/>
    <w:rsid w:val="000216F5"/>
    <w:rsid w:val="00026C28"/>
    <w:rsid w:val="0003032E"/>
    <w:rsid w:val="00032679"/>
    <w:rsid w:val="00032AF3"/>
    <w:rsid w:val="000375FF"/>
    <w:rsid w:val="0004238A"/>
    <w:rsid w:val="000446E9"/>
    <w:rsid w:val="00044952"/>
    <w:rsid w:val="00045984"/>
    <w:rsid w:val="000471AF"/>
    <w:rsid w:val="00051A9C"/>
    <w:rsid w:val="000534E8"/>
    <w:rsid w:val="0005408D"/>
    <w:rsid w:val="000552C9"/>
    <w:rsid w:val="00060669"/>
    <w:rsid w:val="000674EB"/>
    <w:rsid w:val="00067CC0"/>
    <w:rsid w:val="0007247D"/>
    <w:rsid w:val="000745FC"/>
    <w:rsid w:val="00075570"/>
    <w:rsid w:val="00077CEA"/>
    <w:rsid w:val="00081BB4"/>
    <w:rsid w:val="00083AC0"/>
    <w:rsid w:val="000847F3"/>
    <w:rsid w:val="00084C2A"/>
    <w:rsid w:val="00090DDF"/>
    <w:rsid w:val="00092762"/>
    <w:rsid w:val="0009473A"/>
    <w:rsid w:val="00095416"/>
    <w:rsid w:val="000A1ECC"/>
    <w:rsid w:val="000B4EC5"/>
    <w:rsid w:val="000B5B79"/>
    <w:rsid w:val="000B7958"/>
    <w:rsid w:val="000C09DF"/>
    <w:rsid w:val="000C1A21"/>
    <w:rsid w:val="000C41C9"/>
    <w:rsid w:val="000C47E1"/>
    <w:rsid w:val="000C4D91"/>
    <w:rsid w:val="000C7AD7"/>
    <w:rsid w:val="000D4189"/>
    <w:rsid w:val="000D6263"/>
    <w:rsid w:val="000E1B6B"/>
    <w:rsid w:val="000E531F"/>
    <w:rsid w:val="000E5F76"/>
    <w:rsid w:val="000E606A"/>
    <w:rsid w:val="000E71E8"/>
    <w:rsid w:val="000F32F6"/>
    <w:rsid w:val="000F4B55"/>
    <w:rsid w:val="00102A93"/>
    <w:rsid w:val="00117121"/>
    <w:rsid w:val="00123627"/>
    <w:rsid w:val="00124CBE"/>
    <w:rsid w:val="00125428"/>
    <w:rsid w:val="00125F34"/>
    <w:rsid w:val="001261CF"/>
    <w:rsid w:val="00126754"/>
    <w:rsid w:val="00131079"/>
    <w:rsid w:val="00134768"/>
    <w:rsid w:val="0014169F"/>
    <w:rsid w:val="0014209B"/>
    <w:rsid w:val="001430ED"/>
    <w:rsid w:val="00143909"/>
    <w:rsid w:val="00147645"/>
    <w:rsid w:val="00154F27"/>
    <w:rsid w:val="0016088F"/>
    <w:rsid w:val="001663A2"/>
    <w:rsid w:val="001745D7"/>
    <w:rsid w:val="00180950"/>
    <w:rsid w:val="00182204"/>
    <w:rsid w:val="00183641"/>
    <w:rsid w:val="00185C8D"/>
    <w:rsid w:val="00187283"/>
    <w:rsid w:val="001939A5"/>
    <w:rsid w:val="00193B51"/>
    <w:rsid w:val="00194444"/>
    <w:rsid w:val="00195193"/>
    <w:rsid w:val="0019555E"/>
    <w:rsid w:val="001968D3"/>
    <w:rsid w:val="001B02D5"/>
    <w:rsid w:val="001B55DB"/>
    <w:rsid w:val="001B5DE6"/>
    <w:rsid w:val="001C2D09"/>
    <w:rsid w:val="001C328B"/>
    <w:rsid w:val="001C6EB7"/>
    <w:rsid w:val="001D7C5E"/>
    <w:rsid w:val="001E2E9D"/>
    <w:rsid w:val="001E43D5"/>
    <w:rsid w:val="001E5D82"/>
    <w:rsid w:val="001E69BB"/>
    <w:rsid w:val="001F243F"/>
    <w:rsid w:val="001F61CF"/>
    <w:rsid w:val="001F7982"/>
    <w:rsid w:val="00200170"/>
    <w:rsid w:val="002001E7"/>
    <w:rsid w:val="00200CBB"/>
    <w:rsid w:val="0020229A"/>
    <w:rsid w:val="002037E0"/>
    <w:rsid w:val="00204596"/>
    <w:rsid w:val="002128C4"/>
    <w:rsid w:val="00214F2C"/>
    <w:rsid w:val="00222AC6"/>
    <w:rsid w:val="00223B68"/>
    <w:rsid w:val="00224535"/>
    <w:rsid w:val="00227A40"/>
    <w:rsid w:val="00232AEB"/>
    <w:rsid w:val="0023425C"/>
    <w:rsid w:val="00241D66"/>
    <w:rsid w:val="00242A7C"/>
    <w:rsid w:val="00246086"/>
    <w:rsid w:val="002470A4"/>
    <w:rsid w:val="002615D2"/>
    <w:rsid w:val="00262046"/>
    <w:rsid w:val="00263155"/>
    <w:rsid w:val="00264363"/>
    <w:rsid w:val="00266D1A"/>
    <w:rsid w:val="00267FA9"/>
    <w:rsid w:val="00270C1A"/>
    <w:rsid w:val="0027268A"/>
    <w:rsid w:val="002740B6"/>
    <w:rsid w:val="0027420D"/>
    <w:rsid w:val="002813DB"/>
    <w:rsid w:val="00285FC1"/>
    <w:rsid w:val="0029159D"/>
    <w:rsid w:val="00292ED9"/>
    <w:rsid w:val="00295B46"/>
    <w:rsid w:val="002973C4"/>
    <w:rsid w:val="002A00D5"/>
    <w:rsid w:val="002A02E2"/>
    <w:rsid w:val="002A23A5"/>
    <w:rsid w:val="002A32EF"/>
    <w:rsid w:val="002B1887"/>
    <w:rsid w:val="002B1B3D"/>
    <w:rsid w:val="002B39B7"/>
    <w:rsid w:val="002B73D1"/>
    <w:rsid w:val="002C0F60"/>
    <w:rsid w:val="002C1537"/>
    <w:rsid w:val="002C4211"/>
    <w:rsid w:val="002D2A07"/>
    <w:rsid w:val="002D2CC6"/>
    <w:rsid w:val="002E0277"/>
    <w:rsid w:val="002E1C3F"/>
    <w:rsid w:val="002E29EE"/>
    <w:rsid w:val="002E2B49"/>
    <w:rsid w:val="002E5867"/>
    <w:rsid w:val="002E5BD3"/>
    <w:rsid w:val="002E72B7"/>
    <w:rsid w:val="002E7F90"/>
    <w:rsid w:val="002F08C1"/>
    <w:rsid w:val="002F08E3"/>
    <w:rsid w:val="002F1457"/>
    <w:rsid w:val="002F2E28"/>
    <w:rsid w:val="002F2E95"/>
    <w:rsid w:val="002F46DC"/>
    <w:rsid w:val="003040A5"/>
    <w:rsid w:val="0030430D"/>
    <w:rsid w:val="00310923"/>
    <w:rsid w:val="00311B5C"/>
    <w:rsid w:val="00313DB5"/>
    <w:rsid w:val="00313F57"/>
    <w:rsid w:val="00316340"/>
    <w:rsid w:val="00316D82"/>
    <w:rsid w:val="00317D1D"/>
    <w:rsid w:val="00321773"/>
    <w:rsid w:val="003223B7"/>
    <w:rsid w:val="003253F9"/>
    <w:rsid w:val="003259EF"/>
    <w:rsid w:val="0032606C"/>
    <w:rsid w:val="00326230"/>
    <w:rsid w:val="00326F08"/>
    <w:rsid w:val="00331401"/>
    <w:rsid w:val="00333893"/>
    <w:rsid w:val="00334CE0"/>
    <w:rsid w:val="0033661B"/>
    <w:rsid w:val="00342B68"/>
    <w:rsid w:val="00344449"/>
    <w:rsid w:val="003532D9"/>
    <w:rsid w:val="00354D8C"/>
    <w:rsid w:val="00356E13"/>
    <w:rsid w:val="00362595"/>
    <w:rsid w:val="00363335"/>
    <w:rsid w:val="003633A4"/>
    <w:rsid w:val="00370B1E"/>
    <w:rsid w:val="00372777"/>
    <w:rsid w:val="0037463F"/>
    <w:rsid w:val="003759C3"/>
    <w:rsid w:val="00375F1D"/>
    <w:rsid w:val="00376572"/>
    <w:rsid w:val="00380E22"/>
    <w:rsid w:val="00384739"/>
    <w:rsid w:val="003851E7"/>
    <w:rsid w:val="003852E5"/>
    <w:rsid w:val="00387916"/>
    <w:rsid w:val="00392325"/>
    <w:rsid w:val="00394C7F"/>
    <w:rsid w:val="003A62C0"/>
    <w:rsid w:val="003A674C"/>
    <w:rsid w:val="003B18E1"/>
    <w:rsid w:val="003B306E"/>
    <w:rsid w:val="003B3E2D"/>
    <w:rsid w:val="003C0391"/>
    <w:rsid w:val="003C200A"/>
    <w:rsid w:val="003C5389"/>
    <w:rsid w:val="003C6317"/>
    <w:rsid w:val="003C6E38"/>
    <w:rsid w:val="003C72D0"/>
    <w:rsid w:val="003D1066"/>
    <w:rsid w:val="003D1F22"/>
    <w:rsid w:val="003D2AF8"/>
    <w:rsid w:val="003D2C2B"/>
    <w:rsid w:val="003D34F1"/>
    <w:rsid w:val="003D6767"/>
    <w:rsid w:val="003E1D8F"/>
    <w:rsid w:val="003E3ABB"/>
    <w:rsid w:val="003E4C3D"/>
    <w:rsid w:val="003E6F2B"/>
    <w:rsid w:val="003F0CF3"/>
    <w:rsid w:val="003F251D"/>
    <w:rsid w:val="003F328C"/>
    <w:rsid w:val="003F4AB0"/>
    <w:rsid w:val="003F607E"/>
    <w:rsid w:val="003F7BAE"/>
    <w:rsid w:val="00404606"/>
    <w:rsid w:val="00406FF0"/>
    <w:rsid w:val="00407DEA"/>
    <w:rsid w:val="00411A32"/>
    <w:rsid w:val="00411CDF"/>
    <w:rsid w:val="004146D7"/>
    <w:rsid w:val="00415459"/>
    <w:rsid w:val="0041595C"/>
    <w:rsid w:val="00427F41"/>
    <w:rsid w:val="0043034B"/>
    <w:rsid w:val="0043167F"/>
    <w:rsid w:val="00432B85"/>
    <w:rsid w:val="00441364"/>
    <w:rsid w:val="004427D1"/>
    <w:rsid w:val="00443BD4"/>
    <w:rsid w:val="0044499A"/>
    <w:rsid w:val="00445A5C"/>
    <w:rsid w:val="004461A6"/>
    <w:rsid w:val="004517A8"/>
    <w:rsid w:val="00451B9C"/>
    <w:rsid w:val="00453C57"/>
    <w:rsid w:val="00455693"/>
    <w:rsid w:val="00456F20"/>
    <w:rsid w:val="00461425"/>
    <w:rsid w:val="00462259"/>
    <w:rsid w:val="004646A9"/>
    <w:rsid w:val="0047186E"/>
    <w:rsid w:val="0047586A"/>
    <w:rsid w:val="00475F7E"/>
    <w:rsid w:val="0047733A"/>
    <w:rsid w:val="004813CA"/>
    <w:rsid w:val="00486148"/>
    <w:rsid w:val="00487C79"/>
    <w:rsid w:val="004A4175"/>
    <w:rsid w:val="004B0A25"/>
    <w:rsid w:val="004B742B"/>
    <w:rsid w:val="004C5CBE"/>
    <w:rsid w:val="004C6109"/>
    <w:rsid w:val="004D048E"/>
    <w:rsid w:val="004D3BAE"/>
    <w:rsid w:val="004D476A"/>
    <w:rsid w:val="004D486B"/>
    <w:rsid w:val="004E651F"/>
    <w:rsid w:val="004E6CD6"/>
    <w:rsid w:val="004E7953"/>
    <w:rsid w:val="004F0945"/>
    <w:rsid w:val="004F1C1D"/>
    <w:rsid w:val="00501D19"/>
    <w:rsid w:val="00504734"/>
    <w:rsid w:val="0051150D"/>
    <w:rsid w:val="005123BE"/>
    <w:rsid w:val="00513A0D"/>
    <w:rsid w:val="00515874"/>
    <w:rsid w:val="0052235D"/>
    <w:rsid w:val="005236AD"/>
    <w:rsid w:val="0052675E"/>
    <w:rsid w:val="00527692"/>
    <w:rsid w:val="005310EE"/>
    <w:rsid w:val="005314AE"/>
    <w:rsid w:val="005327FB"/>
    <w:rsid w:val="00540670"/>
    <w:rsid w:val="00540C26"/>
    <w:rsid w:val="005410D6"/>
    <w:rsid w:val="005415F6"/>
    <w:rsid w:val="00541805"/>
    <w:rsid w:val="005429DB"/>
    <w:rsid w:val="00542C7D"/>
    <w:rsid w:val="005538BB"/>
    <w:rsid w:val="00556883"/>
    <w:rsid w:val="00556CE7"/>
    <w:rsid w:val="005640AF"/>
    <w:rsid w:val="00573224"/>
    <w:rsid w:val="00573446"/>
    <w:rsid w:val="0057518E"/>
    <w:rsid w:val="00575579"/>
    <w:rsid w:val="00575904"/>
    <w:rsid w:val="00576FA4"/>
    <w:rsid w:val="00577C5F"/>
    <w:rsid w:val="00590387"/>
    <w:rsid w:val="00592D1F"/>
    <w:rsid w:val="00592E6A"/>
    <w:rsid w:val="00594C14"/>
    <w:rsid w:val="005A0D45"/>
    <w:rsid w:val="005A1003"/>
    <w:rsid w:val="005A19FD"/>
    <w:rsid w:val="005A1BA1"/>
    <w:rsid w:val="005A3110"/>
    <w:rsid w:val="005A46DA"/>
    <w:rsid w:val="005A46DD"/>
    <w:rsid w:val="005A4FE9"/>
    <w:rsid w:val="005A7ACB"/>
    <w:rsid w:val="005B1E94"/>
    <w:rsid w:val="005B50B9"/>
    <w:rsid w:val="005B682A"/>
    <w:rsid w:val="005B7AC6"/>
    <w:rsid w:val="005C126B"/>
    <w:rsid w:val="005C12A3"/>
    <w:rsid w:val="005C372A"/>
    <w:rsid w:val="005C52BB"/>
    <w:rsid w:val="005D19A0"/>
    <w:rsid w:val="005D1B10"/>
    <w:rsid w:val="005D5D0A"/>
    <w:rsid w:val="005D5FD2"/>
    <w:rsid w:val="005E25D9"/>
    <w:rsid w:val="005F359C"/>
    <w:rsid w:val="005F475D"/>
    <w:rsid w:val="0060078C"/>
    <w:rsid w:val="00601C96"/>
    <w:rsid w:val="00602396"/>
    <w:rsid w:val="00605F96"/>
    <w:rsid w:val="0060719D"/>
    <w:rsid w:val="0061082F"/>
    <w:rsid w:val="00614773"/>
    <w:rsid w:val="00617608"/>
    <w:rsid w:val="00621EA8"/>
    <w:rsid w:val="006256A1"/>
    <w:rsid w:val="00625A3E"/>
    <w:rsid w:val="00632174"/>
    <w:rsid w:val="00634205"/>
    <w:rsid w:val="00637F50"/>
    <w:rsid w:val="006400E3"/>
    <w:rsid w:val="00644023"/>
    <w:rsid w:val="00647486"/>
    <w:rsid w:val="00653ABF"/>
    <w:rsid w:val="00653C3D"/>
    <w:rsid w:val="00660E5A"/>
    <w:rsid w:val="00667C5E"/>
    <w:rsid w:val="0067059F"/>
    <w:rsid w:val="0067296F"/>
    <w:rsid w:val="0067575C"/>
    <w:rsid w:val="0067773F"/>
    <w:rsid w:val="00677854"/>
    <w:rsid w:val="00682937"/>
    <w:rsid w:val="006834DB"/>
    <w:rsid w:val="00684B15"/>
    <w:rsid w:val="00686484"/>
    <w:rsid w:val="00686B16"/>
    <w:rsid w:val="00692E23"/>
    <w:rsid w:val="006A3183"/>
    <w:rsid w:val="006A31F1"/>
    <w:rsid w:val="006A3B4C"/>
    <w:rsid w:val="006C1239"/>
    <w:rsid w:val="006C2BA0"/>
    <w:rsid w:val="006C60A1"/>
    <w:rsid w:val="006C658D"/>
    <w:rsid w:val="006D3384"/>
    <w:rsid w:val="006D3EF5"/>
    <w:rsid w:val="006D5C36"/>
    <w:rsid w:val="006E1D34"/>
    <w:rsid w:val="006E1F09"/>
    <w:rsid w:val="006E1FDB"/>
    <w:rsid w:val="006E3D19"/>
    <w:rsid w:val="006E6D00"/>
    <w:rsid w:val="006F796B"/>
    <w:rsid w:val="00700641"/>
    <w:rsid w:val="007018B9"/>
    <w:rsid w:val="0070286A"/>
    <w:rsid w:val="00707519"/>
    <w:rsid w:val="00707E6A"/>
    <w:rsid w:val="00712BD4"/>
    <w:rsid w:val="007162E2"/>
    <w:rsid w:val="007230BE"/>
    <w:rsid w:val="007269F6"/>
    <w:rsid w:val="00727AD5"/>
    <w:rsid w:val="00732025"/>
    <w:rsid w:val="007332BE"/>
    <w:rsid w:val="0073525A"/>
    <w:rsid w:val="0073669E"/>
    <w:rsid w:val="00736C03"/>
    <w:rsid w:val="00737789"/>
    <w:rsid w:val="00740521"/>
    <w:rsid w:val="007434BC"/>
    <w:rsid w:val="00743535"/>
    <w:rsid w:val="0074385A"/>
    <w:rsid w:val="00745325"/>
    <w:rsid w:val="00751251"/>
    <w:rsid w:val="00752127"/>
    <w:rsid w:val="00754E8D"/>
    <w:rsid w:val="00760E9F"/>
    <w:rsid w:val="00761062"/>
    <w:rsid w:val="007615C9"/>
    <w:rsid w:val="00761A05"/>
    <w:rsid w:val="00764773"/>
    <w:rsid w:val="00765A41"/>
    <w:rsid w:val="0076689F"/>
    <w:rsid w:val="0077402C"/>
    <w:rsid w:val="00774648"/>
    <w:rsid w:val="0078051C"/>
    <w:rsid w:val="00784D86"/>
    <w:rsid w:val="00784E2F"/>
    <w:rsid w:val="007865EC"/>
    <w:rsid w:val="007919E9"/>
    <w:rsid w:val="00793A78"/>
    <w:rsid w:val="00795270"/>
    <w:rsid w:val="007A3D8D"/>
    <w:rsid w:val="007A4514"/>
    <w:rsid w:val="007A7B56"/>
    <w:rsid w:val="007B0615"/>
    <w:rsid w:val="007B06FA"/>
    <w:rsid w:val="007B3E19"/>
    <w:rsid w:val="007B431A"/>
    <w:rsid w:val="007B4D24"/>
    <w:rsid w:val="007B6914"/>
    <w:rsid w:val="007B7458"/>
    <w:rsid w:val="007C1525"/>
    <w:rsid w:val="007C7C9C"/>
    <w:rsid w:val="007D0194"/>
    <w:rsid w:val="007D1C4F"/>
    <w:rsid w:val="007E09A0"/>
    <w:rsid w:val="007E1015"/>
    <w:rsid w:val="007E1793"/>
    <w:rsid w:val="007F1A64"/>
    <w:rsid w:val="007F2AF2"/>
    <w:rsid w:val="007F2B02"/>
    <w:rsid w:val="007F5ECE"/>
    <w:rsid w:val="008038D7"/>
    <w:rsid w:val="008054F2"/>
    <w:rsid w:val="00805EBA"/>
    <w:rsid w:val="0080618B"/>
    <w:rsid w:val="00814A52"/>
    <w:rsid w:val="00815AC8"/>
    <w:rsid w:val="00820958"/>
    <w:rsid w:val="00822260"/>
    <w:rsid w:val="00823D1B"/>
    <w:rsid w:val="0082444A"/>
    <w:rsid w:val="00825774"/>
    <w:rsid w:val="008263AC"/>
    <w:rsid w:val="0083067D"/>
    <w:rsid w:val="00832777"/>
    <w:rsid w:val="00833A15"/>
    <w:rsid w:val="00833FC0"/>
    <w:rsid w:val="00834159"/>
    <w:rsid w:val="0083582C"/>
    <w:rsid w:val="00837521"/>
    <w:rsid w:val="008376A5"/>
    <w:rsid w:val="00842679"/>
    <w:rsid w:val="00845482"/>
    <w:rsid w:val="0084686F"/>
    <w:rsid w:val="0085420B"/>
    <w:rsid w:val="00864471"/>
    <w:rsid w:val="00866A80"/>
    <w:rsid w:val="00867505"/>
    <w:rsid w:val="008701DE"/>
    <w:rsid w:val="00875993"/>
    <w:rsid w:val="00876309"/>
    <w:rsid w:val="00884AEE"/>
    <w:rsid w:val="0088609E"/>
    <w:rsid w:val="0089076D"/>
    <w:rsid w:val="008A12CF"/>
    <w:rsid w:val="008A16B1"/>
    <w:rsid w:val="008A1B7A"/>
    <w:rsid w:val="008A246C"/>
    <w:rsid w:val="008A6980"/>
    <w:rsid w:val="008B0262"/>
    <w:rsid w:val="008B15A9"/>
    <w:rsid w:val="008B3B4D"/>
    <w:rsid w:val="008B6342"/>
    <w:rsid w:val="008B7EF1"/>
    <w:rsid w:val="008C3069"/>
    <w:rsid w:val="008C3906"/>
    <w:rsid w:val="008C439B"/>
    <w:rsid w:val="008D3E17"/>
    <w:rsid w:val="008D7163"/>
    <w:rsid w:val="008E1AFB"/>
    <w:rsid w:val="008E35D2"/>
    <w:rsid w:val="008E41DD"/>
    <w:rsid w:val="008E5634"/>
    <w:rsid w:val="008E5F6B"/>
    <w:rsid w:val="008F13BE"/>
    <w:rsid w:val="008F2022"/>
    <w:rsid w:val="008F2C67"/>
    <w:rsid w:val="008F4962"/>
    <w:rsid w:val="008F6720"/>
    <w:rsid w:val="008F6F01"/>
    <w:rsid w:val="008F7B15"/>
    <w:rsid w:val="00900CD6"/>
    <w:rsid w:val="00903AA9"/>
    <w:rsid w:val="0090755A"/>
    <w:rsid w:val="00907A6A"/>
    <w:rsid w:val="00912B6C"/>
    <w:rsid w:val="00912BDA"/>
    <w:rsid w:val="00914F27"/>
    <w:rsid w:val="00921212"/>
    <w:rsid w:val="0092443B"/>
    <w:rsid w:val="0092544E"/>
    <w:rsid w:val="00926945"/>
    <w:rsid w:val="00931A2F"/>
    <w:rsid w:val="0093424C"/>
    <w:rsid w:val="00941207"/>
    <w:rsid w:val="00944855"/>
    <w:rsid w:val="00945098"/>
    <w:rsid w:val="00946702"/>
    <w:rsid w:val="009470B4"/>
    <w:rsid w:val="00950572"/>
    <w:rsid w:val="00951E59"/>
    <w:rsid w:val="009525E5"/>
    <w:rsid w:val="009538A6"/>
    <w:rsid w:val="00954BC1"/>
    <w:rsid w:val="00971631"/>
    <w:rsid w:val="00974118"/>
    <w:rsid w:val="009746AC"/>
    <w:rsid w:val="00982286"/>
    <w:rsid w:val="00982855"/>
    <w:rsid w:val="009840C9"/>
    <w:rsid w:val="00984635"/>
    <w:rsid w:val="009854E9"/>
    <w:rsid w:val="009868B5"/>
    <w:rsid w:val="00986F68"/>
    <w:rsid w:val="0099199E"/>
    <w:rsid w:val="00993693"/>
    <w:rsid w:val="00996ADC"/>
    <w:rsid w:val="009A048B"/>
    <w:rsid w:val="009A4215"/>
    <w:rsid w:val="009B531D"/>
    <w:rsid w:val="009B65DB"/>
    <w:rsid w:val="009C17AA"/>
    <w:rsid w:val="009C1C88"/>
    <w:rsid w:val="009C2948"/>
    <w:rsid w:val="009C3F08"/>
    <w:rsid w:val="009C4ACC"/>
    <w:rsid w:val="009C6166"/>
    <w:rsid w:val="009D3B1C"/>
    <w:rsid w:val="009D4A26"/>
    <w:rsid w:val="009D4D4D"/>
    <w:rsid w:val="009D5EE5"/>
    <w:rsid w:val="009F5C27"/>
    <w:rsid w:val="009F62B6"/>
    <w:rsid w:val="00A00B94"/>
    <w:rsid w:val="00A00F2A"/>
    <w:rsid w:val="00A029E6"/>
    <w:rsid w:val="00A02B8F"/>
    <w:rsid w:val="00A0418D"/>
    <w:rsid w:val="00A0489F"/>
    <w:rsid w:val="00A058C2"/>
    <w:rsid w:val="00A10BA4"/>
    <w:rsid w:val="00A125B2"/>
    <w:rsid w:val="00A12792"/>
    <w:rsid w:val="00A13823"/>
    <w:rsid w:val="00A17783"/>
    <w:rsid w:val="00A177CE"/>
    <w:rsid w:val="00A17A8B"/>
    <w:rsid w:val="00A21119"/>
    <w:rsid w:val="00A22B80"/>
    <w:rsid w:val="00A23593"/>
    <w:rsid w:val="00A33708"/>
    <w:rsid w:val="00A34EFB"/>
    <w:rsid w:val="00A354A6"/>
    <w:rsid w:val="00A47F9E"/>
    <w:rsid w:val="00A519C2"/>
    <w:rsid w:val="00A51A15"/>
    <w:rsid w:val="00A53EE0"/>
    <w:rsid w:val="00A564A7"/>
    <w:rsid w:val="00A608EF"/>
    <w:rsid w:val="00A65262"/>
    <w:rsid w:val="00A667A4"/>
    <w:rsid w:val="00A66DF0"/>
    <w:rsid w:val="00A74DB9"/>
    <w:rsid w:val="00A82C81"/>
    <w:rsid w:val="00A84CDC"/>
    <w:rsid w:val="00A921F7"/>
    <w:rsid w:val="00A96862"/>
    <w:rsid w:val="00A972E4"/>
    <w:rsid w:val="00AA18D7"/>
    <w:rsid w:val="00AA3999"/>
    <w:rsid w:val="00AA5371"/>
    <w:rsid w:val="00AB22A2"/>
    <w:rsid w:val="00AB23B9"/>
    <w:rsid w:val="00AB7E6E"/>
    <w:rsid w:val="00AC3D49"/>
    <w:rsid w:val="00AC7CE0"/>
    <w:rsid w:val="00AD0319"/>
    <w:rsid w:val="00AD1BFB"/>
    <w:rsid w:val="00AD3501"/>
    <w:rsid w:val="00AD5BB9"/>
    <w:rsid w:val="00AD672B"/>
    <w:rsid w:val="00AE3C99"/>
    <w:rsid w:val="00AE5437"/>
    <w:rsid w:val="00AE545C"/>
    <w:rsid w:val="00AE5906"/>
    <w:rsid w:val="00AE746F"/>
    <w:rsid w:val="00AF128A"/>
    <w:rsid w:val="00AF1C13"/>
    <w:rsid w:val="00AF1C64"/>
    <w:rsid w:val="00AF4985"/>
    <w:rsid w:val="00AF63A6"/>
    <w:rsid w:val="00AF72BA"/>
    <w:rsid w:val="00B01BB0"/>
    <w:rsid w:val="00B2041C"/>
    <w:rsid w:val="00B2202C"/>
    <w:rsid w:val="00B235AB"/>
    <w:rsid w:val="00B251D8"/>
    <w:rsid w:val="00B30D1D"/>
    <w:rsid w:val="00B31EF7"/>
    <w:rsid w:val="00B31F36"/>
    <w:rsid w:val="00B3244E"/>
    <w:rsid w:val="00B35F04"/>
    <w:rsid w:val="00B41D27"/>
    <w:rsid w:val="00B4655B"/>
    <w:rsid w:val="00B52267"/>
    <w:rsid w:val="00B5271A"/>
    <w:rsid w:val="00B52D6E"/>
    <w:rsid w:val="00B601C7"/>
    <w:rsid w:val="00B620D6"/>
    <w:rsid w:val="00B6400C"/>
    <w:rsid w:val="00B667C8"/>
    <w:rsid w:val="00B66AD5"/>
    <w:rsid w:val="00B67687"/>
    <w:rsid w:val="00B7057F"/>
    <w:rsid w:val="00B71B46"/>
    <w:rsid w:val="00B72403"/>
    <w:rsid w:val="00B74248"/>
    <w:rsid w:val="00B76691"/>
    <w:rsid w:val="00B912E0"/>
    <w:rsid w:val="00B94621"/>
    <w:rsid w:val="00B955C3"/>
    <w:rsid w:val="00BA123E"/>
    <w:rsid w:val="00BA248E"/>
    <w:rsid w:val="00BA4531"/>
    <w:rsid w:val="00BA4A46"/>
    <w:rsid w:val="00BA6F5A"/>
    <w:rsid w:val="00BB1443"/>
    <w:rsid w:val="00BC00E3"/>
    <w:rsid w:val="00BC0B87"/>
    <w:rsid w:val="00BC111B"/>
    <w:rsid w:val="00BC1F60"/>
    <w:rsid w:val="00BC5AF0"/>
    <w:rsid w:val="00BD0D87"/>
    <w:rsid w:val="00BE12C1"/>
    <w:rsid w:val="00BE2675"/>
    <w:rsid w:val="00BE5E34"/>
    <w:rsid w:val="00BE77D0"/>
    <w:rsid w:val="00BF1250"/>
    <w:rsid w:val="00BF72E3"/>
    <w:rsid w:val="00BF7D1C"/>
    <w:rsid w:val="00C03232"/>
    <w:rsid w:val="00C04B1D"/>
    <w:rsid w:val="00C07EB6"/>
    <w:rsid w:val="00C10347"/>
    <w:rsid w:val="00C16A5F"/>
    <w:rsid w:val="00C1777A"/>
    <w:rsid w:val="00C25093"/>
    <w:rsid w:val="00C26A64"/>
    <w:rsid w:val="00C322F3"/>
    <w:rsid w:val="00C3274D"/>
    <w:rsid w:val="00C35115"/>
    <w:rsid w:val="00C35301"/>
    <w:rsid w:val="00C37230"/>
    <w:rsid w:val="00C375B1"/>
    <w:rsid w:val="00C502BF"/>
    <w:rsid w:val="00C50F04"/>
    <w:rsid w:val="00C51992"/>
    <w:rsid w:val="00C54122"/>
    <w:rsid w:val="00C56A05"/>
    <w:rsid w:val="00C57C52"/>
    <w:rsid w:val="00C60A02"/>
    <w:rsid w:val="00C618EB"/>
    <w:rsid w:val="00C61CE5"/>
    <w:rsid w:val="00C66159"/>
    <w:rsid w:val="00C66294"/>
    <w:rsid w:val="00C701D8"/>
    <w:rsid w:val="00C7131E"/>
    <w:rsid w:val="00C77C82"/>
    <w:rsid w:val="00C804EC"/>
    <w:rsid w:val="00C81DFC"/>
    <w:rsid w:val="00C83C18"/>
    <w:rsid w:val="00C83D76"/>
    <w:rsid w:val="00C92E0C"/>
    <w:rsid w:val="00C934C0"/>
    <w:rsid w:val="00C93DC3"/>
    <w:rsid w:val="00CA0887"/>
    <w:rsid w:val="00CA1C0B"/>
    <w:rsid w:val="00CA71B3"/>
    <w:rsid w:val="00CA7E4C"/>
    <w:rsid w:val="00CB338E"/>
    <w:rsid w:val="00CB5CAC"/>
    <w:rsid w:val="00CB6403"/>
    <w:rsid w:val="00CB6E88"/>
    <w:rsid w:val="00CC4B56"/>
    <w:rsid w:val="00CC7EBE"/>
    <w:rsid w:val="00CD10FD"/>
    <w:rsid w:val="00CD12ED"/>
    <w:rsid w:val="00CD5A8D"/>
    <w:rsid w:val="00CD6B25"/>
    <w:rsid w:val="00CD7AF6"/>
    <w:rsid w:val="00CE353F"/>
    <w:rsid w:val="00CE686F"/>
    <w:rsid w:val="00CE71A8"/>
    <w:rsid w:val="00CF00D0"/>
    <w:rsid w:val="00CF2980"/>
    <w:rsid w:val="00CF4325"/>
    <w:rsid w:val="00CF4EDA"/>
    <w:rsid w:val="00CF54C8"/>
    <w:rsid w:val="00D013F6"/>
    <w:rsid w:val="00D0291E"/>
    <w:rsid w:val="00D1243F"/>
    <w:rsid w:val="00D12AFF"/>
    <w:rsid w:val="00D23203"/>
    <w:rsid w:val="00D237C2"/>
    <w:rsid w:val="00D27D88"/>
    <w:rsid w:val="00D30B54"/>
    <w:rsid w:val="00D355CD"/>
    <w:rsid w:val="00D35B1C"/>
    <w:rsid w:val="00D378EC"/>
    <w:rsid w:val="00D37FB8"/>
    <w:rsid w:val="00D41DA7"/>
    <w:rsid w:val="00D42694"/>
    <w:rsid w:val="00D44115"/>
    <w:rsid w:val="00D44735"/>
    <w:rsid w:val="00D4552D"/>
    <w:rsid w:val="00D50203"/>
    <w:rsid w:val="00D51D35"/>
    <w:rsid w:val="00D525F4"/>
    <w:rsid w:val="00D63D2C"/>
    <w:rsid w:val="00D65124"/>
    <w:rsid w:val="00D7176A"/>
    <w:rsid w:val="00D74C92"/>
    <w:rsid w:val="00D77520"/>
    <w:rsid w:val="00D84CB7"/>
    <w:rsid w:val="00D864FA"/>
    <w:rsid w:val="00D92DD3"/>
    <w:rsid w:val="00D96D77"/>
    <w:rsid w:val="00DA3047"/>
    <w:rsid w:val="00DB5E6D"/>
    <w:rsid w:val="00DC44AD"/>
    <w:rsid w:val="00DC4908"/>
    <w:rsid w:val="00DD09C5"/>
    <w:rsid w:val="00DD1210"/>
    <w:rsid w:val="00DD152B"/>
    <w:rsid w:val="00DD1B29"/>
    <w:rsid w:val="00DD4D8C"/>
    <w:rsid w:val="00DD6E6C"/>
    <w:rsid w:val="00DE319A"/>
    <w:rsid w:val="00DE3BEE"/>
    <w:rsid w:val="00DE57CF"/>
    <w:rsid w:val="00DE7784"/>
    <w:rsid w:val="00DE7C3C"/>
    <w:rsid w:val="00DF0595"/>
    <w:rsid w:val="00DF1C72"/>
    <w:rsid w:val="00DF6F33"/>
    <w:rsid w:val="00DF7D83"/>
    <w:rsid w:val="00E003B6"/>
    <w:rsid w:val="00E02AC8"/>
    <w:rsid w:val="00E03F09"/>
    <w:rsid w:val="00E06EAC"/>
    <w:rsid w:val="00E07D12"/>
    <w:rsid w:val="00E11920"/>
    <w:rsid w:val="00E16DE9"/>
    <w:rsid w:val="00E20DBF"/>
    <w:rsid w:val="00E22247"/>
    <w:rsid w:val="00E249FA"/>
    <w:rsid w:val="00E27CD0"/>
    <w:rsid w:val="00E31C5A"/>
    <w:rsid w:val="00E32604"/>
    <w:rsid w:val="00E36220"/>
    <w:rsid w:val="00E37220"/>
    <w:rsid w:val="00E41BBE"/>
    <w:rsid w:val="00E44F5C"/>
    <w:rsid w:val="00E51D7B"/>
    <w:rsid w:val="00E64655"/>
    <w:rsid w:val="00E64687"/>
    <w:rsid w:val="00E76454"/>
    <w:rsid w:val="00E82935"/>
    <w:rsid w:val="00E82BA4"/>
    <w:rsid w:val="00E8536C"/>
    <w:rsid w:val="00E93D69"/>
    <w:rsid w:val="00E9558A"/>
    <w:rsid w:val="00E9598E"/>
    <w:rsid w:val="00E95CE6"/>
    <w:rsid w:val="00E97248"/>
    <w:rsid w:val="00EA462B"/>
    <w:rsid w:val="00EB12C5"/>
    <w:rsid w:val="00EB554D"/>
    <w:rsid w:val="00EB5CA2"/>
    <w:rsid w:val="00EC137B"/>
    <w:rsid w:val="00EC63A5"/>
    <w:rsid w:val="00EC6B88"/>
    <w:rsid w:val="00ED0741"/>
    <w:rsid w:val="00ED1E7F"/>
    <w:rsid w:val="00ED3055"/>
    <w:rsid w:val="00ED4063"/>
    <w:rsid w:val="00EE049E"/>
    <w:rsid w:val="00EE1AD2"/>
    <w:rsid w:val="00EE3D3A"/>
    <w:rsid w:val="00EE442C"/>
    <w:rsid w:val="00EF2088"/>
    <w:rsid w:val="00EF6F5D"/>
    <w:rsid w:val="00F02BBB"/>
    <w:rsid w:val="00F0760F"/>
    <w:rsid w:val="00F139A0"/>
    <w:rsid w:val="00F14108"/>
    <w:rsid w:val="00F17283"/>
    <w:rsid w:val="00F17422"/>
    <w:rsid w:val="00F210CE"/>
    <w:rsid w:val="00F236AC"/>
    <w:rsid w:val="00F23B19"/>
    <w:rsid w:val="00F369C6"/>
    <w:rsid w:val="00F447A0"/>
    <w:rsid w:val="00F46A51"/>
    <w:rsid w:val="00F50039"/>
    <w:rsid w:val="00F5194D"/>
    <w:rsid w:val="00F5271F"/>
    <w:rsid w:val="00F53B10"/>
    <w:rsid w:val="00F62958"/>
    <w:rsid w:val="00F6373A"/>
    <w:rsid w:val="00F66E77"/>
    <w:rsid w:val="00F75597"/>
    <w:rsid w:val="00F77C60"/>
    <w:rsid w:val="00F80F59"/>
    <w:rsid w:val="00F820CF"/>
    <w:rsid w:val="00F86986"/>
    <w:rsid w:val="00F87E11"/>
    <w:rsid w:val="00F902C6"/>
    <w:rsid w:val="00F90AF6"/>
    <w:rsid w:val="00F95DC1"/>
    <w:rsid w:val="00F95F1D"/>
    <w:rsid w:val="00F9676E"/>
    <w:rsid w:val="00FA4AF3"/>
    <w:rsid w:val="00FA5492"/>
    <w:rsid w:val="00FA5764"/>
    <w:rsid w:val="00FA5B4D"/>
    <w:rsid w:val="00FB79C0"/>
    <w:rsid w:val="00FC4389"/>
    <w:rsid w:val="00FC61FE"/>
    <w:rsid w:val="00FC669A"/>
    <w:rsid w:val="00FC66B0"/>
    <w:rsid w:val="00FC79C3"/>
    <w:rsid w:val="00FD507A"/>
    <w:rsid w:val="00FD6140"/>
    <w:rsid w:val="00FD799D"/>
    <w:rsid w:val="00FE433B"/>
    <w:rsid w:val="00FF1056"/>
    <w:rsid w:val="00FF2FA2"/>
    <w:rsid w:val="00FF37C4"/>
    <w:rsid w:val="00FF60E0"/>
    <w:rsid w:val="00FF6500"/>
    <w:rsid w:val="00FF6E4E"/>
    <w:rsid w:val="0260B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58A75"/>
  <w15:chartTrackingRefBased/>
  <w15:docId w15:val="{C8EE445C-66C4-478F-9995-9BCEA811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01BB0"/>
    <w:rPr>
      <w:sz w:val="18"/>
      <w:szCs w:val="18"/>
    </w:rPr>
  </w:style>
  <w:style w:type="paragraph" w:styleId="CommentText">
    <w:name w:val="annotation text"/>
    <w:basedOn w:val="Normal"/>
    <w:link w:val="CommentTextChar"/>
    <w:uiPriority w:val="99"/>
    <w:semiHidden/>
    <w:unhideWhenUsed/>
    <w:rsid w:val="00B01BB0"/>
    <w:pPr>
      <w:spacing w:line="240" w:lineRule="auto"/>
    </w:pPr>
    <w:rPr>
      <w:sz w:val="24"/>
      <w:szCs w:val="24"/>
    </w:rPr>
  </w:style>
  <w:style w:type="character" w:customStyle="1" w:styleId="CommentTextChar">
    <w:name w:val="Comment Text Char"/>
    <w:basedOn w:val="DefaultParagraphFont"/>
    <w:link w:val="CommentText"/>
    <w:uiPriority w:val="99"/>
    <w:semiHidden/>
    <w:rsid w:val="00B01BB0"/>
    <w:rPr>
      <w:sz w:val="24"/>
      <w:szCs w:val="24"/>
    </w:rPr>
  </w:style>
  <w:style w:type="paragraph" w:styleId="CommentSubject">
    <w:name w:val="annotation subject"/>
    <w:basedOn w:val="CommentText"/>
    <w:next w:val="CommentText"/>
    <w:link w:val="CommentSubjectChar"/>
    <w:uiPriority w:val="99"/>
    <w:semiHidden/>
    <w:unhideWhenUsed/>
    <w:rsid w:val="00B01BB0"/>
    <w:rPr>
      <w:b/>
      <w:bCs/>
      <w:sz w:val="20"/>
      <w:szCs w:val="20"/>
    </w:rPr>
  </w:style>
  <w:style w:type="character" w:customStyle="1" w:styleId="CommentSubjectChar">
    <w:name w:val="Comment Subject Char"/>
    <w:basedOn w:val="CommentTextChar"/>
    <w:link w:val="CommentSubject"/>
    <w:uiPriority w:val="99"/>
    <w:semiHidden/>
    <w:rsid w:val="00B01BB0"/>
    <w:rPr>
      <w:b/>
      <w:bCs/>
      <w:sz w:val="20"/>
      <w:szCs w:val="20"/>
    </w:rPr>
  </w:style>
  <w:style w:type="paragraph" w:styleId="BalloonText">
    <w:name w:val="Balloon Text"/>
    <w:basedOn w:val="Normal"/>
    <w:link w:val="BalloonTextChar"/>
    <w:uiPriority w:val="99"/>
    <w:semiHidden/>
    <w:unhideWhenUsed/>
    <w:rsid w:val="00B01B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BB0"/>
    <w:rPr>
      <w:rFonts w:ascii="Times New Roman" w:hAnsi="Times New Roman" w:cs="Times New Roman"/>
      <w:sz w:val="18"/>
      <w:szCs w:val="18"/>
    </w:rPr>
  </w:style>
  <w:style w:type="paragraph" w:styleId="Revision">
    <w:name w:val="Revision"/>
    <w:hidden/>
    <w:uiPriority w:val="99"/>
    <w:semiHidden/>
    <w:rsid w:val="00B01BB0"/>
    <w:pPr>
      <w:spacing w:after="0" w:line="240" w:lineRule="auto"/>
    </w:pPr>
  </w:style>
  <w:style w:type="paragraph" w:styleId="ListParagraph">
    <w:name w:val="List Paragraph"/>
    <w:basedOn w:val="Normal"/>
    <w:uiPriority w:val="34"/>
    <w:qFormat/>
    <w:rsid w:val="006F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268269903">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Dividend Growth</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Sheet1!$B$8:$F$8</c:f>
              <c:numCache>
                <c:formatCode>General</c:formatCode>
                <c:ptCount val="5"/>
                <c:pt idx="0">
                  <c:v>2020</c:v>
                </c:pt>
                <c:pt idx="1">
                  <c:v>2021</c:v>
                </c:pt>
                <c:pt idx="2">
                  <c:v>2022</c:v>
                </c:pt>
                <c:pt idx="3">
                  <c:v>2023</c:v>
                </c:pt>
                <c:pt idx="4">
                  <c:v>2024</c:v>
                </c:pt>
              </c:numCache>
            </c:numRef>
          </c:cat>
          <c:val>
            <c:numRef>
              <c:f>Sheet1!$B$9:$F$9</c:f>
              <c:numCache>
                <c:formatCode>[$$-409]#,##0.00</c:formatCode>
                <c:ptCount val="5"/>
                <c:pt idx="0">
                  <c:v>1.4</c:v>
                </c:pt>
                <c:pt idx="1">
                  <c:v>1.47</c:v>
                </c:pt>
                <c:pt idx="2">
                  <c:v>1.5435000000000001</c:v>
                </c:pt>
                <c:pt idx="3">
                  <c:v>1.7750250000000001</c:v>
                </c:pt>
                <c:pt idx="4">
                  <c:v>1.9170270000000003</c:v>
                </c:pt>
              </c:numCache>
            </c:numRef>
          </c:val>
          <c:extLst>
            <c:ext xmlns:c16="http://schemas.microsoft.com/office/drawing/2014/chart" uri="{C3380CC4-5D6E-409C-BE32-E72D297353CC}">
              <c16:uniqueId val="{00000000-336D-41C0-BCB6-745433F40C6B}"/>
            </c:ext>
          </c:extLst>
        </c:ser>
        <c:dLbls>
          <c:dLblPos val="outEnd"/>
          <c:showLegendKey val="0"/>
          <c:showVal val="1"/>
          <c:showCatName val="0"/>
          <c:showSerName val="0"/>
          <c:showPercent val="0"/>
          <c:showBubbleSize val="0"/>
        </c:dLbls>
        <c:gapWidth val="80"/>
        <c:overlap val="25"/>
        <c:axId val="1332212128"/>
        <c:axId val="1326702176"/>
      </c:barChart>
      <c:catAx>
        <c:axId val="13322121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326702176"/>
        <c:crosses val="autoZero"/>
        <c:auto val="1"/>
        <c:lblAlgn val="ctr"/>
        <c:lblOffset val="100"/>
        <c:noMultiLvlLbl val="0"/>
      </c:catAx>
      <c:valAx>
        <c:axId val="1326702176"/>
        <c:scaling>
          <c:orientation val="minMax"/>
        </c:scaling>
        <c:delete val="0"/>
        <c:axPos val="l"/>
        <c:majorGridlines>
          <c:spPr>
            <a:ln w="9525" cap="flat" cmpd="sng" algn="ctr">
              <a:solidFill>
                <a:schemeClr val="tx1">
                  <a:lumMod val="5000"/>
                  <a:lumOff val="95000"/>
                </a:schemeClr>
              </a:solidFill>
              <a:round/>
            </a:ln>
            <a:effectLst/>
          </c:spPr>
        </c:majorGridlines>
        <c:numFmt formatCode="[$$-409]#,##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3322121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t>Dividend Growth</a:t>
            </a:r>
          </a:p>
        </c:rich>
      </c:tx>
      <c:layout>
        <c:manualLayout>
          <c:xMode val="edge"/>
          <c:yMode val="edge"/>
          <c:x val="0.28188554178716935"/>
          <c:y val="4.9382716049382713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Sheet1!$B$8:$F$8</c:f>
              <c:numCache>
                <c:formatCode>General</c:formatCode>
                <c:ptCount val="5"/>
                <c:pt idx="0">
                  <c:v>2020</c:v>
                </c:pt>
                <c:pt idx="1">
                  <c:v>2021</c:v>
                </c:pt>
                <c:pt idx="2">
                  <c:v>2022</c:v>
                </c:pt>
                <c:pt idx="3">
                  <c:v>2023</c:v>
                </c:pt>
                <c:pt idx="4">
                  <c:v>2024</c:v>
                </c:pt>
              </c:numCache>
            </c:numRef>
          </c:cat>
          <c:val>
            <c:numRef>
              <c:f>Sheet1!$B$9:$F$9</c:f>
              <c:numCache>
                <c:formatCode>[$$-409]#,##0.00</c:formatCode>
                <c:ptCount val="5"/>
                <c:pt idx="0">
                  <c:v>1.4</c:v>
                </c:pt>
                <c:pt idx="1">
                  <c:v>1.526</c:v>
                </c:pt>
                <c:pt idx="2">
                  <c:v>1.66334</c:v>
                </c:pt>
                <c:pt idx="3">
                  <c:v>1.9128409999999998</c:v>
                </c:pt>
                <c:pt idx="4">
                  <c:v>2.0658682800000001</c:v>
                </c:pt>
              </c:numCache>
            </c:numRef>
          </c:val>
          <c:extLst>
            <c:ext xmlns:c16="http://schemas.microsoft.com/office/drawing/2014/chart" uri="{C3380CC4-5D6E-409C-BE32-E72D297353CC}">
              <c16:uniqueId val="{00000000-2343-47AD-85EA-5EFAF3B6D3CA}"/>
            </c:ext>
          </c:extLst>
        </c:ser>
        <c:dLbls>
          <c:dLblPos val="outEnd"/>
          <c:showLegendKey val="0"/>
          <c:showVal val="1"/>
          <c:showCatName val="0"/>
          <c:showSerName val="0"/>
          <c:showPercent val="0"/>
          <c:showBubbleSize val="0"/>
        </c:dLbls>
        <c:gapWidth val="80"/>
        <c:overlap val="25"/>
        <c:axId val="1332212128"/>
        <c:axId val="1326702176"/>
      </c:barChart>
      <c:catAx>
        <c:axId val="13322121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1326702176"/>
        <c:crosses val="autoZero"/>
        <c:auto val="1"/>
        <c:lblAlgn val="ctr"/>
        <c:lblOffset val="100"/>
        <c:noMultiLvlLbl val="0"/>
      </c:catAx>
      <c:valAx>
        <c:axId val="1326702176"/>
        <c:scaling>
          <c:orientation val="minMax"/>
        </c:scaling>
        <c:delete val="0"/>
        <c:axPos val="l"/>
        <c:majorGridlines>
          <c:spPr>
            <a:ln w="9525" cap="flat" cmpd="sng" algn="ctr">
              <a:solidFill>
                <a:schemeClr val="tx1">
                  <a:lumMod val="5000"/>
                  <a:lumOff val="95000"/>
                </a:schemeClr>
              </a:solidFill>
              <a:round/>
            </a:ln>
            <a:effectLst/>
          </c:spPr>
        </c:majorGridlines>
        <c:numFmt formatCode="[$$-409]#,##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133221212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 Ratio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Company 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Morgan Stanley</c:v>
                </c:pt>
                <c:pt idx="1">
                  <c:v>JP. Morgan</c:v>
                </c:pt>
                <c:pt idx="2">
                  <c:v>Goldman Sachs</c:v>
                </c:pt>
              </c:strCache>
            </c:strRef>
          </c:cat>
          <c:val>
            <c:numRef>
              <c:f>Sheet1!$B$2:$B$4</c:f>
              <c:numCache>
                <c:formatCode>General</c:formatCode>
                <c:ptCount val="3"/>
                <c:pt idx="0">
                  <c:v>9.14</c:v>
                </c:pt>
                <c:pt idx="1">
                  <c:v>12.78</c:v>
                </c:pt>
                <c:pt idx="2">
                  <c:v>10.48</c:v>
                </c:pt>
              </c:numCache>
            </c:numRef>
          </c:val>
          <c:extLst>
            <c:ext xmlns:c16="http://schemas.microsoft.com/office/drawing/2014/chart" uri="{C3380CC4-5D6E-409C-BE32-E72D297353CC}">
              <c16:uniqueId val="{00000000-B112-4BD5-B4D6-932AF1F9A5CB}"/>
            </c:ext>
          </c:extLst>
        </c:ser>
        <c:ser>
          <c:idx val="1"/>
          <c:order val="1"/>
          <c:tx>
            <c:strRef>
              <c:f>Sheet1!$C$1</c:f>
              <c:strCache>
                <c:ptCount val="1"/>
                <c:pt idx="0">
                  <c:v>Peer Average P/E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Morgan Stanley</c:v>
                </c:pt>
                <c:pt idx="1">
                  <c:v>JP. Morgan</c:v>
                </c:pt>
                <c:pt idx="2">
                  <c:v>Goldman Sachs</c:v>
                </c:pt>
              </c:strCache>
            </c:strRef>
          </c:cat>
          <c:val>
            <c:numRef>
              <c:f>Sheet1!$C$2:$C$4</c:f>
              <c:numCache>
                <c:formatCode>General</c:formatCode>
                <c:ptCount val="3"/>
                <c:pt idx="0">
                  <c:v>11.629999999999999</c:v>
                </c:pt>
                <c:pt idx="1">
                  <c:v>11.629999999999999</c:v>
                </c:pt>
                <c:pt idx="2">
                  <c:v>11.629999999999999</c:v>
                </c:pt>
              </c:numCache>
            </c:numRef>
          </c:val>
          <c:extLst>
            <c:ext xmlns:c16="http://schemas.microsoft.com/office/drawing/2014/chart" uri="{C3380CC4-5D6E-409C-BE32-E72D297353CC}">
              <c16:uniqueId val="{00000001-B112-4BD5-B4D6-932AF1F9A5CB}"/>
            </c:ext>
          </c:extLst>
        </c:ser>
        <c:dLbls>
          <c:dLblPos val="outEnd"/>
          <c:showLegendKey val="0"/>
          <c:showVal val="1"/>
          <c:showCatName val="0"/>
          <c:showSerName val="0"/>
          <c:showPercent val="0"/>
          <c:showBubbleSize val="0"/>
        </c:dLbls>
        <c:gapWidth val="219"/>
        <c:overlap val="-27"/>
        <c:axId val="1462081983"/>
        <c:axId val="1640162415"/>
      </c:barChart>
      <c:catAx>
        <c:axId val="1462081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162415"/>
        <c:crosses val="autoZero"/>
        <c:auto val="1"/>
        <c:lblAlgn val="ctr"/>
        <c:lblOffset val="100"/>
        <c:noMultiLvlLbl val="0"/>
      </c:catAx>
      <c:valAx>
        <c:axId val="16401624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081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DFCC08F60F34BB4BB14B883A2CFF8" ma:contentTypeVersion="13" ma:contentTypeDescription="Create a new document." ma:contentTypeScope="" ma:versionID="467250e5de4736725925b8ee11f83f8c">
  <xsd:schema xmlns:xsd="http://www.w3.org/2001/XMLSchema" xmlns:xs="http://www.w3.org/2001/XMLSchema" xmlns:p="http://schemas.microsoft.com/office/2006/metadata/properties" xmlns:ns3="45fd3229-a06d-41ee-8ef9-d3a24b7cf472" xmlns:ns4="e107e3d6-4ac9-4f6d-9eb5-c42589d04a30" targetNamespace="http://schemas.microsoft.com/office/2006/metadata/properties" ma:root="true" ma:fieldsID="e5ca45d0f2d80a398908136ec97ac418" ns3:_="" ns4:_="">
    <xsd:import namespace="45fd3229-a06d-41ee-8ef9-d3a24b7cf472"/>
    <xsd:import namespace="e107e3d6-4ac9-4f6d-9eb5-c42589d04a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d3229-a06d-41ee-8ef9-d3a24b7cf4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7e3d6-4ac9-4f6d-9eb5-c42589d04a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76DA6-2860-479F-AAED-B244E57D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d3229-a06d-41ee-8ef9-d3a24b7cf472"/>
    <ds:schemaRef ds:uri="e107e3d6-4ac9-4f6d-9eb5-c42589d04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F84E5-9FBA-4DFD-B24B-1F701B03E0E9}">
  <ds:schemaRefs>
    <ds:schemaRef ds:uri="http://schemas.microsoft.com/sharepoint/v3/contenttype/forms"/>
  </ds:schemaRefs>
</ds:datastoreItem>
</file>

<file path=customXml/itemProps3.xml><?xml version="1.0" encoding="utf-8"?>
<ds:datastoreItem xmlns:ds="http://schemas.openxmlformats.org/officeDocument/2006/customXml" ds:itemID="{548D44D4-FEAC-4741-BCED-26308C6C9FD6}">
  <ds:schemaRefs>
    <ds:schemaRef ds:uri="http://schemas.openxmlformats.org/officeDocument/2006/bibliography"/>
  </ds:schemaRefs>
</ds:datastoreItem>
</file>

<file path=customXml/itemProps4.xml><?xml version="1.0" encoding="utf-8"?>
<ds:datastoreItem xmlns:ds="http://schemas.openxmlformats.org/officeDocument/2006/customXml" ds:itemID="{169CFE38-0D70-42CD-B3E7-2D38E1980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Tollison, Riley James</cp:lastModifiedBy>
  <cp:revision>2</cp:revision>
  <dcterms:created xsi:type="dcterms:W3CDTF">2020-11-03T16:50:00Z</dcterms:created>
  <dcterms:modified xsi:type="dcterms:W3CDTF">2020-11-03T16:50:00Z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0x0101002A0DFCC08F60F34BB4BB14B883A2CFF8</vt:lpwstr>
  </property>
</Properties>
</file>