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9181B" w14:textId="6CA8590B" w:rsidR="00713D5A" w:rsidRPr="00713D5A" w:rsidRDefault="00713D5A" w:rsidP="00713D5A">
      <w:pPr>
        <w:pStyle w:val="NoSpacing"/>
        <w:spacing w:line="360" w:lineRule="auto"/>
        <w:jc w:val="center"/>
        <w:rPr>
          <w:b/>
        </w:rPr>
      </w:pPr>
      <w:r w:rsidRPr="00713D5A">
        <w:rPr>
          <w:b/>
        </w:rPr>
        <w:t>McCormick &amp; Co</w:t>
      </w:r>
      <w:r w:rsidR="008D388E">
        <w:rPr>
          <w:b/>
        </w:rPr>
        <w:t>mpany, Inc</w:t>
      </w:r>
      <w:r w:rsidRPr="00713D5A">
        <w:rPr>
          <w:b/>
        </w:rPr>
        <w:t>.</w:t>
      </w:r>
    </w:p>
    <w:p w14:paraId="2316E06E" w14:textId="10953717" w:rsidR="00DA53C2" w:rsidRDefault="00DA53C2" w:rsidP="00713D5A">
      <w:pPr>
        <w:pStyle w:val="NoSpacing"/>
        <w:spacing w:line="360" w:lineRule="auto"/>
        <w:jc w:val="center"/>
      </w:pPr>
      <w:r>
        <w:t>April 11, 2018</w:t>
      </w:r>
    </w:p>
    <w:p w14:paraId="7111BDCE" w14:textId="0EF0072D" w:rsidR="00713D5A" w:rsidRPr="008D388E" w:rsidRDefault="00713D5A" w:rsidP="00713D5A">
      <w:pPr>
        <w:pStyle w:val="NoSpacing"/>
        <w:spacing w:line="360" w:lineRule="auto"/>
        <w:rPr>
          <w:u w:val="single"/>
        </w:rPr>
      </w:pPr>
      <w:r w:rsidRPr="008D388E">
        <w:rPr>
          <w:u w:val="single"/>
        </w:rPr>
        <w:t xml:space="preserve">Caiti Setterman | Griffin Egan </w:t>
      </w:r>
      <w:r w:rsidRPr="008D388E">
        <w:rPr>
          <w:u w:val="single"/>
        </w:rPr>
        <w:tab/>
      </w:r>
      <w:r w:rsidRPr="008D388E">
        <w:rPr>
          <w:u w:val="single"/>
        </w:rPr>
        <w:tab/>
      </w:r>
      <w:r w:rsidRPr="008D388E">
        <w:rPr>
          <w:u w:val="single"/>
        </w:rPr>
        <w:tab/>
      </w:r>
      <w:r w:rsidRPr="008D388E">
        <w:rPr>
          <w:u w:val="single"/>
        </w:rPr>
        <w:tab/>
      </w:r>
      <w:r w:rsidRPr="008D388E">
        <w:rPr>
          <w:u w:val="single"/>
        </w:rPr>
        <w:tab/>
      </w:r>
      <w:r w:rsidRPr="008D388E">
        <w:rPr>
          <w:u w:val="single"/>
        </w:rPr>
        <w:tab/>
        <w:t xml:space="preserve">             Consumer Staples Sector</w:t>
      </w:r>
    </w:p>
    <w:p w14:paraId="7BA9A9CD" w14:textId="3F94395A" w:rsidR="00D271A2" w:rsidRPr="000B3375" w:rsidRDefault="00D271A2" w:rsidP="000B3375">
      <w:pPr>
        <w:pStyle w:val="Heading1"/>
      </w:pPr>
      <w:r w:rsidRPr="000B3375">
        <w:t>Introduction</w:t>
      </w:r>
    </w:p>
    <w:p w14:paraId="4A08D175" w14:textId="30274C8B" w:rsidR="00122F79" w:rsidRDefault="00DA53C2" w:rsidP="00713D5A">
      <w:pPr>
        <w:pStyle w:val="NoSpacing"/>
        <w:spacing w:line="360" w:lineRule="auto"/>
        <w:rPr>
          <w:b/>
        </w:rPr>
      </w:pPr>
      <w:r w:rsidRPr="005964D4">
        <w:t>McCormick &amp; Company, Inc.</w:t>
      </w:r>
      <w:r w:rsidR="008D388E" w:rsidRPr="005964D4">
        <w:t xml:space="preserve"> (NYSE: MKC | price: </w:t>
      </w:r>
      <w:r w:rsidR="003B2616">
        <w:t>$106.59)</w:t>
      </w:r>
      <w:r w:rsidRPr="005964D4">
        <w:t xml:space="preserve"> is </w:t>
      </w:r>
      <w:r w:rsidR="009D2C9F" w:rsidRPr="005964D4">
        <w:t>a global corporation</w:t>
      </w:r>
      <w:r w:rsidR="00BA29CC">
        <w:t xml:space="preserve"> that manufactures</w:t>
      </w:r>
      <w:r w:rsidR="00332E88" w:rsidRPr="005964D4">
        <w:t xml:space="preserve"> </w:t>
      </w:r>
      <w:r w:rsidR="00A72258" w:rsidRPr="005964D4">
        <w:t>and sell</w:t>
      </w:r>
      <w:r w:rsidR="00BA29CC">
        <w:t>s</w:t>
      </w:r>
      <w:r w:rsidR="00A72258" w:rsidRPr="005964D4">
        <w:t xml:space="preserve"> spices and flavorings in </w:t>
      </w:r>
      <w:r w:rsidR="00122F79">
        <w:t>two operational segments</w:t>
      </w:r>
      <w:r w:rsidR="00A72258" w:rsidRPr="005964D4">
        <w:t>:</w:t>
      </w:r>
      <w:r w:rsidR="00122F79">
        <w:t xml:space="preserve"> </w:t>
      </w:r>
      <w:r w:rsidR="00A72258" w:rsidRPr="005964D4">
        <w:t>co</w:t>
      </w:r>
      <w:r w:rsidR="00122F79">
        <w:t xml:space="preserve">nsumer and </w:t>
      </w:r>
      <w:r w:rsidR="00A72258" w:rsidRPr="005964D4">
        <w:t>industrial.</w:t>
      </w:r>
      <w:r w:rsidR="005964D4">
        <w:t xml:space="preserve"> </w:t>
      </w:r>
      <w:r w:rsidR="746BEF2F">
        <w:t>MKC was founded in 1889 in Baltimore, Maryland, and is now headquartered in Sparks, Maryland.</w:t>
      </w:r>
      <w:r w:rsidR="00CD16B4">
        <w:t xml:space="preserve"> </w:t>
      </w:r>
      <w:r w:rsidR="005964D4">
        <w:t>With approximately 20% share of the $11 billion global</w:t>
      </w:r>
      <w:r w:rsidR="00A72258" w:rsidRPr="005964D4">
        <w:t xml:space="preserve"> </w:t>
      </w:r>
      <w:r w:rsidR="005964D4">
        <w:t xml:space="preserve">market, </w:t>
      </w:r>
      <w:r w:rsidR="00A72258" w:rsidRPr="005964D4">
        <w:t>McCormick’s portfolio includes brands in 150 different countries and territories</w:t>
      </w:r>
      <w:r w:rsidR="00BA29CC">
        <w:t>.</w:t>
      </w:r>
      <w:r w:rsidR="00A72258" w:rsidRPr="005964D4">
        <w:t xml:space="preserve"> </w:t>
      </w:r>
      <w:r w:rsidR="004F05B6">
        <w:t xml:space="preserve">Of the 20% market share, </w:t>
      </w:r>
      <w:r w:rsidR="746BEF2F">
        <w:t>67% result</w:t>
      </w:r>
      <w:r w:rsidR="004F05B6">
        <w:t>s</w:t>
      </w:r>
      <w:r w:rsidR="746BEF2F">
        <w:t xml:space="preserve"> from</w:t>
      </w:r>
      <w:r w:rsidR="00A72258" w:rsidRPr="005964D4">
        <w:t xml:space="preserve"> the Americas, 20% </w:t>
      </w:r>
      <w:r w:rsidR="004F05B6">
        <w:t xml:space="preserve">from Europe, Middle </w:t>
      </w:r>
      <w:r w:rsidR="00A72258" w:rsidRPr="005964D4">
        <w:t xml:space="preserve">East, and Africa, and 13% </w:t>
      </w:r>
      <w:r w:rsidR="004F05B6">
        <w:t>from</w:t>
      </w:r>
      <w:r w:rsidR="00BA29CC">
        <w:t xml:space="preserve"> the Asia-P</w:t>
      </w:r>
      <w:r w:rsidR="00A72258" w:rsidRPr="005964D4">
        <w:t>acific Zone.</w:t>
      </w:r>
      <w:r w:rsidR="00B71711" w:rsidRPr="005964D4">
        <w:t xml:space="preserve"> </w:t>
      </w:r>
      <w:r w:rsidR="00BA29CC">
        <w:t xml:space="preserve">With a market cap of $13.72 billion, MKC </w:t>
      </w:r>
      <w:r w:rsidR="00B71711" w:rsidRPr="005964D4">
        <w:t xml:space="preserve">is </w:t>
      </w:r>
      <w:r w:rsidR="00D23865" w:rsidRPr="005964D4">
        <w:t>a global leader in the Food Products Industry</w:t>
      </w:r>
      <w:r w:rsidR="00BA29CC">
        <w:t>.</w:t>
      </w:r>
    </w:p>
    <w:p w14:paraId="66DA5B7F" w14:textId="740C68B4" w:rsidR="00CC3740" w:rsidRPr="000B3375" w:rsidRDefault="00CC3740" w:rsidP="000B3375">
      <w:pPr>
        <w:pStyle w:val="Heading1"/>
      </w:pPr>
      <w:r w:rsidRPr="000B3375">
        <w:t>Recommendation</w:t>
      </w:r>
    </w:p>
    <w:p w14:paraId="08F9340F" w14:textId="7356566D" w:rsidR="00E31FD9" w:rsidRPr="00E361F3" w:rsidRDefault="009E6927" w:rsidP="00713D5A">
      <w:pPr>
        <w:pStyle w:val="NoSpacing"/>
        <w:spacing w:line="360" w:lineRule="auto"/>
      </w:pPr>
      <w:r>
        <w:t>We issue a buy recommendation for McCormick &amp; Company, Inc</w:t>
      </w:r>
      <w:r w:rsidR="003B2616">
        <w:t xml:space="preserve">. </w:t>
      </w:r>
      <w:r>
        <w:t>based on a 1-year target price of $114.50</w:t>
      </w:r>
      <w:r w:rsidR="00CD598C">
        <w:t>. This intrinsic value represents a 7.43%</w:t>
      </w:r>
      <w:r>
        <w:t xml:space="preserve"> upside potential</w:t>
      </w:r>
      <w:r w:rsidR="00CD598C">
        <w:t xml:space="preserve"> </w:t>
      </w:r>
      <w:r>
        <w:t xml:space="preserve">from the April 11, 2018 closing price of $106.59. </w:t>
      </w:r>
      <w:r w:rsidR="00CD598C">
        <w:t xml:space="preserve">Over the </w:t>
      </w:r>
      <w:r w:rsidR="00E361F3">
        <w:t>last</w:t>
      </w:r>
      <w:r w:rsidR="00CD598C">
        <w:t xml:space="preserve"> five years, </w:t>
      </w:r>
      <w:r w:rsidR="003B2616">
        <w:t xml:space="preserve">MKC has </w:t>
      </w:r>
      <w:r w:rsidR="000D537C">
        <w:t xml:space="preserve">displayed steady growth </w:t>
      </w:r>
      <w:r>
        <w:t>of 2-3</w:t>
      </w:r>
      <w:r w:rsidR="00CD598C">
        <w:t>%, resulting from</w:t>
      </w:r>
      <w:r>
        <w:t xml:space="preserve"> continuous</w:t>
      </w:r>
      <w:r w:rsidR="00CD598C">
        <w:t xml:space="preserve"> product innovation, </w:t>
      </w:r>
      <w:r>
        <w:t>cost-saving efforts of the company</w:t>
      </w:r>
      <w:r w:rsidR="00CD598C">
        <w:t>, and merger and acquisition activity</w:t>
      </w:r>
      <w:r>
        <w:t xml:space="preserve">. The </w:t>
      </w:r>
      <w:r w:rsidR="00CD598C">
        <w:t xml:space="preserve">most recent </w:t>
      </w:r>
      <w:r>
        <w:t>acquisition of Reckitt Benckiser Group</w:t>
      </w:r>
      <w:r w:rsidR="00CD598C">
        <w:t xml:space="preserve">’s food division (RB Foods) resulted in a 9.56% YOY growth in revenue from 2016 to 2017. An estimated 6.5% of this growth was attributable to the acquisition, while 3% resulted from organic growth of the company. </w:t>
      </w:r>
      <w:r w:rsidR="00E361F3">
        <w:t>After seven acquisitions in two years, MKC has added a substantial amount of debt to their balance sheet. Therefore, w</w:t>
      </w:r>
      <w:r w:rsidR="00CD598C">
        <w:t xml:space="preserve">e anticipate </w:t>
      </w:r>
      <w:r w:rsidR="00E361F3">
        <w:t xml:space="preserve">a standstill in </w:t>
      </w:r>
      <w:r w:rsidR="00CD598C">
        <w:t>M&amp;A activity</w:t>
      </w:r>
      <w:r w:rsidR="00E361F3">
        <w:t xml:space="preserve"> through 2020 to allow the company to repay some of the accrued debt. We do not see this as a threat to their short-term financial performance, however</w:t>
      </w:r>
      <w:r w:rsidR="008C2159">
        <w:t xml:space="preserve">. </w:t>
      </w:r>
      <w:r w:rsidR="00E361F3">
        <w:t>MKC will continue to s</w:t>
      </w:r>
      <w:r w:rsidR="0026095E">
        <w:t>trategic</w:t>
      </w:r>
      <w:r w:rsidR="00E361F3">
        <w:t>ally</w:t>
      </w:r>
      <w:r w:rsidR="0026095E">
        <w:t xml:space="preserve"> </w:t>
      </w:r>
      <w:r w:rsidR="00E361F3">
        <w:t>focus expansion in</w:t>
      </w:r>
      <w:r w:rsidR="0026095E">
        <w:t xml:space="preserve"> both developed and emerging markets in which there is growing consumer demand in bold, flavorful products. </w:t>
      </w:r>
    </w:p>
    <w:p w14:paraId="088A6012" w14:textId="6B5EDFAC" w:rsidR="00D271A2" w:rsidRPr="000B3375" w:rsidRDefault="00D271A2" w:rsidP="000B3375">
      <w:pPr>
        <w:pStyle w:val="Heading1"/>
      </w:pPr>
      <w:r w:rsidRPr="000B3375">
        <w:t>Investment Thesis</w:t>
      </w:r>
    </w:p>
    <w:p w14:paraId="1166FB83" w14:textId="4832DADF" w:rsidR="00122F79" w:rsidRPr="001A69EE" w:rsidRDefault="00122F79" w:rsidP="00713D5A">
      <w:pPr>
        <w:pStyle w:val="NoSpacing"/>
        <w:spacing w:line="360" w:lineRule="auto"/>
        <w:rPr>
          <w:b/>
        </w:rPr>
      </w:pPr>
      <w:r w:rsidRPr="000B3375">
        <w:rPr>
          <w:b/>
          <w:i/>
        </w:rPr>
        <w:t>Product Innovation:</w:t>
      </w:r>
      <w:r>
        <w:rPr>
          <w:i/>
        </w:rPr>
        <w:t xml:space="preserve"> </w:t>
      </w:r>
      <w:r w:rsidR="00BA2CD2">
        <w:t xml:space="preserve">The recent health movement has consumers </w:t>
      </w:r>
      <w:r w:rsidR="001A69EE">
        <w:t>increasingly interested in fresh, healthy, and flavorful food options</w:t>
      </w:r>
      <w:r w:rsidR="000B3375">
        <w:t xml:space="preserve"> </w:t>
      </w:r>
      <w:r w:rsidR="001A69EE">
        <w:t xml:space="preserve">which has posed a threat to many companies within the food industry. MKC, however, is well positioned as these trends continue to emerge. Research and development has allowed MKC to </w:t>
      </w:r>
      <w:r w:rsidR="00BA2CD2">
        <w:t xml:space="preserve">develop products that appeal to a </w:t>
      </w:r>
      <w:r w:rsidR="000B3375">
        <w:t>wide variety of consumer tastes, since consumers respond well to continuously new product offerings.</w:t>
      </w:r>
    </w:p>
    <w:p w14:paraId="76476B5A" w14:textId="3C7402AC" w:rsidR="00122F79" w:rsidRPr="001C2A98" w:rsidRDefault="00122F79" w:rsidP="00713D5A">
      <w:pPr>
        <w:pStyle w:val="NoSpacing"/>
        <w:spacing w:line="360" w:lineRule="auto"/>
      </w:pPr>
      <w:r w:rsidRPr="000B3375">
        <w:rPr>
          <w:b/>
          <w:i/>
        </w:rPr>
        <w:lastRenderedPageBreak/>
        <w:t>Cost Restructuring Initiative:</w:t>
      </w:r>
      <w:r w:rsidR="00D51411">
        <w:rPr>
          <w:i/>
        </w:rPr>
        <w:t xml:space="preserve"> </w:t>
      </w:r>
      <w:r w:rsidR="004B5AFA">
        <w:t xml:space="preserve"> </w:t>
      </w:r>
      <w:r w:rsidR="001C2A98">
        <w:t>Recent inflationary pressure, as well as volatility of raw materials, has led to a significant increase in material and production costs industry wide. In response to this issue, MKC</w:t>
      </w:r>
      <w:r w:rsidR="004B5AFA">
        <w:t xml:space="preserve"> </w:t>
      </w:r>
      <w:r w:rsidR="001C2A98">
        <w:t xml:space="preserve">has </w:t>
      </w:r>
      <w:r w:rsidR="00042190">
        <w:t>implemented a</w:t>
      </w:r>
      <w:r w:rsidR="004B5AFA">
        <w:t xml:space="preserve"> Comprehensive Continuous Improvement (CCI) program aimed to </w:t>
      </w:r>
      <w:r w:rsidR="00042190">
        <w:t xml:space="preserve">improve productivity and reduce </w:t>
      </w:r>
      <w:r w:rsidR="00F03F7F">
        <w:t>operating costs</w:t>
      </w:r>
      <w:r w:rsidR="00042190">
        <w:t>. In 2016</w:t>
      </w:r>
      <w:r w:rsidR="00F03F7F">
        <w:t xml:space="preserve">, MKC </w:t>
      </w:r>
      <w:r w:rsidR="00042190">
        <w:t>set a four-year cost savings plan goal</w:t>
      </w:r>
      <w:r w:rsidR="001C2A98">
        <w:t xml:space="preserve"> of $400 million</w:t>
      </w:r>
      <w:r w:rsidR="00F03F7F">
        <w:t xml:space="preserve"> in hopes of allocating additional funds into brand marketing and product innovation</w:t>
      </w:r>
      <w:r w:rsidR="001C2A98">
        <w:t xml:space="preserve">. In just two years, MKC has delivered $226 million in cost savings, signaling that the company is on track to meet </w:t>
      </w:r>
      <w:r w:rsidR="001A69EE">
        <w:t>the</w:t>
      </w:r>
      <w:r w:rsidR="001C2A98">
        <w:t xml:space="preserve"> </w:t>
      </w:r>
      <w:r w:rsidR="00F03F7F">
        <w:t xml:space="preserve">four-year </w:t>
      </w:r>
      <w:r w:rsidR="001C2A98">
        <w:t>savings</w:t>
      </w:r>
      <w:r w:rsidR="00F03F7F">
        <w:t xml:space="preserve"> goal</w:t>
      </w:r>
      <w:r w:rsidR="001C2A98">
        <w:t xml:space="preserve">. </w:t>
      </w:r>
    </w:p>
    <w:p w14:paraId="205EA8DC" w14:textId="709E4448" w:rsidR="000B3375" w:rsidRPr="000B3375" w:rsidRDefault="00122F79" w:rsidP="00713D5A">
      <w:pPr>
        <w:pStyle w:val="NoSpacing"/>
        <w:spacing w:line="360" w:lineRule="auto"/>
      </w:pPr>
      <w:r w:rsidRPr="000B3375">
        <w:rPr>
          <w:b/>
          <w:i/>
        </w:rPr>
        <w:t xml:space="preserve">Mergers and Acquisitions: </w:t>
      </w:r>
      <w:r>
        <w:t xml:space="preserve">Since 2015, MKC has completed seven acquisitions </w:t>
      </w:r>
      <w:r w:rsidR="000F080C">
        <w:t xml:space="preserve">with the intent </w:t>
      </w:r>
      <w:r>
        <w:t xml:space="preserve">to drive sales and profit in both </w:t>
      </w:r>
      <w:r w:rsidR="000F080C">
        <w:t xml:space="preserve">of its </w:t>
      </w:r>
      <w:r w:rsidR="00D51411">
        <w:t xml:space="preserve">business segments. MKC’s </w:t>
      </w:r>
      <w:r>
        <w:t>most recent acquisition</w:t>
      </w:r>
      <w:r w:rsidR="000F080C">
        <w:t xml:space="preserve"> of Reckitt Benckiser Group’s food division aimed to </w:t>
      </w:r>
      <w:r w:rsidR="00D51411">
        <w:t xml:space="preserve">also </w:t>
      </w:r>
      <w:r w:rsidR="000F080C">
        <w:t xml:space="preserve">expand the opportunity for international growth and diversification. </w:t>
      </w:r>
      <w:r w:rsidR="000A7D00">
        <w:t>This acquisition, including products such as Franks RedHot and French’s, has also allowed MKC to expand its flavor options in the condiments category. Unlike prior acquisitions, which were financed through the use of cash and short term borrowings, the RB Foods acquisition was financed through the issuance of 6.35 million shares of common stock as well as senior unsecured notes and pre-payable term loans. The projected increase in sales for 2017 and 2018</w:t>
      </w:r>
      <w:r w:rsidR="000B3375">
        <w:t xml:space="preserve"> would allow MKC to pay back the pre-payable term loans in the short run, ultimately influencing this</w:t>
      </w:r>
      <w:r w:rsidR="000A7D00">
        <w:t xml:space="preserve"> financial decision</w:t>
      </w:r>
      <w:r w:rsidR="000B3375">
        <w:t>.</w:t>
      </w:r>
    </w:p>
    <w:p w14:paraId="2992449C" w14:textId="4271F83D" w:rsidR="00D271A2" w:rsidRPr="000B3375" w:rsidRDefault="00D271A2" w:rsidP="000B3375">
      <w:pPr>
        <w:pStyle w:val="Heading1"/>
      </w:pPr>
      <w:r w:rsidRPr="000B3375">
        <w:t>Valuation</w:t>
      </w:r>
    </w:p>
    <w:p w14:paraId="207ADA0E" w14:textId="131D5FBA" w:rsidR="00BA29CC" w:rsidRDefault="00BA29CC" w:rsidP="00713D5A">
      <w:pPr>
        <w:pStyle w:val="NoSpacing"/>
        <w:spacing w:line="360" w:lineRule="auto"/>
        <w:rPr>
          <w:b/>
        </w:rPr>
      </w:pPr>
      <w:r>
        <w:t xml:space="preserve">To reach an intrinsic value for MKC, two valuation methods were used. The first method used for valuing the company was a five-year DCF model. </w:t>
      </w:r>
      <w:r w:rsidR="00BD5A4F">
        <w:t>Using a terminal growth rate of 2% and a WACC of 6.09% a price of $</w:t>
      </w:r>
      <w:r w:rsidR="00F567A8">
        <w:t>90.88</w:t>
      </w:r>
      <w:r w:rsidR="00C27708">
        <w:t xml:space="preserve"> was derived</w:t>
      </w:r>
      <w:r w:rsidR="00BD5A4F">
        <w:t>. A sensitivity analysis of ±.25 on the terminal growth rate and WACC resulted in an intrinsic value range from $</w:t>
      </w:r>
      <w:r w:rsidR="00A8163D">
        <w:t>89.58</w:t>
      </w:r>
      <w:r w:rsidR="00BD5A4F">
        <w:t xml:space="preserve"> - $</w:t>
      </w:r>
      <w:r w:rsidR="00A8163D">
        <w:t>92.76</w:t>
      </w:r>
      <w:r w:rsidR="00BD5A4F">
        <w:t xml:space="preserve">. </w:t>
      </w:r>
      <w:r w:rsidR="00170761">
        <w:t>The</w:t>
      </w:r>
      <w:r w:rsidR="00BD5A4F">
        <w:t xml:space="preserve"> second valuation method used was </w:t>
      </w:r>
      <w:r w:rsidR="00170761">
        <w:t xml:space="preserve">an </w:t>
      </w:r>
      <w:r w:rsidR="00BD5A4F">
        <w:t xml:space="preserve">EV/EBITDA multiples valuation. </w:t>
      </w:r>
      <w:r w:rsidR="00A8163D">
        <w:t>Peers</w:t>
      </w:r>
      <w:r w:rsidR="00565D08">
        <w:t xml:space="preserve"> were selected through </w:t>
      </w:r>
      <w:r w:rsidR="00A8163D">
        <w:t xml:space="preserve">the </w:t>
      </w:r>
      <w:r w:rsidR="00565D08">
        <w:t xml:space="preserve">analysis of annual revenues, market cap, P/E ratios, and inventory turnover ratios. A chart of </w:t>
      </w:r>
      <w:r w:rsidR="00F744BF">
        <w:t xml:space="preserve">the </w:t>
      </w:r>
      <w:r w:rsidR="008C2159">
        <w:t>peers</w:t>
      </w:r>
      <w:r w:rsidR="00565D08">
        <w:t xml:space="preserve"> used in </w:t>
      </w:r>
      <w:r w:rsidR="00170761">
        <w:t>this relative</w:t>
      </w:r>
      <w:r w:rsidR="00565D08">
        <w:t xml:space="preserve"> valuation can be found in </w:t>
      </w:r>
      <w:r w:rsidR="00565D08" w:rsidRPr="00170761">
        <w:rPr>
          <w:i/>
        </w:rPr>
        <w:t xml:space="preserve">Table </w:t>
      </w:r>
      <w:r w:rsidR="00170761">
        <w:rPr>
          <w:i/>
        </w:rPr>
        <w:t>1</w:t>
      </w:r>
      <w:r w:rsidR="00565D08">
        <w:t xml:space="preserve">. </w:t>
      </w:r>
      <w:r w:rsidR="00170761">
        <w:t>Using MKC 2018 EBITDA of $853.07 and an average peer multiple of 27.62x, a relative valuation of $138.13 was derived. Weights for the models were split 50/50</w:t>
      </w:r>
      <w:r w:rsidR="00F744BF">
        <w:t xml:space="preserve"> and resulted</w:t>
      </w:r>
      <w:r w:rsidR="00170761">
        <w:t xml:space="preserve"> in a 1-year target price of $11</w:t>
      </w:r>
      <w:r w:rsidR="00A8163D">
        <w:t>4.50</w:t>
      </w:r>
      <w:r w:rsidR="00F744BF">
        <w:t>, representing</w:t>
      </w:r>
      <w:r w:rsidR="003B2616">
        <w:t xml:space="preserve"> a</w:t>
      </w:r>
      <w:r w:rsidR="00170761">
        <w:t xml:space="preserve"> </w:t>
      </w:r>
      <w:r w:rsidR="003B2616">
        <w:t>7.43%</w:t>
      </w:r>
      <w:r w:rsidR="00170761">
        <w:t xml:space="preserve"> upside potential. </w:t>
      </w:r>
    </w:p>
    <w:p w14:paraId="5C5EF88C" w14:textId="1DF6F824" w:rsidR="00D271A2" w:rsidRPr="000B3375" w:rsidRDefault="00D271A2" w:rsidP="000B3375">
      <w:pPr>
        <w:pStyle w:val="Heading1"/>
      </w:pPr>
      <w:r w:rsidRPr="000B3375">
        <w:t>Risks</w:t>
      </w:r>
      <w:r w:rsidR="00AC49A6" w:rsidRPr="000B3375">
        <w:t xml:space="preserve"> </w:t>
      </w:r>
    </w:p>
    <w:p w14:paraId="7D8089E4" w14:textId="5E68F910" w:rsidR="002408A6" w:rsidRDefault="36E98EF4" w:rsidP="36E98EF4">
      <w:pPr>
        <w:pStyle w:val="NoSpacing"/>
        <w:spacing w:line="360" w:lineRule="auto"/>
        <w:rPr>
          <w:b/>
          <w:bCs/>
        </w:rPr>
      </w:pPr>
      <w:r>
        <w:t xml:space="preserve">We see three key risks </w:t>
      </w:r>
      <w:r w:rsidR="746BEF2F">
        <w:t>for</w:t>
      </w:r>
      <w:r>
        <w:t xml:space="preserve"> McCormick</w:t>
      </w:r>
      <w:r w:rsidR="746BEF2F">
        <w:t>,</w:t>
      </w:r>
      <w:r>
        <w:t xml:space="preserve"> but believe </w:t>
      </w:r>
      <w:r w:rsidR="000B3375">
        <w:t>the company</w:t>
      </w:r>
      <w:r>
        <w:t xml:space="preserve"> ha</w:t>
      </w:r>
      <w:r w:rsidR="000B3375">
        <w:t>s</w:t>
      </w:r>
      <w:r>
        <w:t xml:space="preserve"> taken the necessary steps to mitigate any downside potential resulting from the following factors. </w:t>
      </w:r>
    </w:p>
    <w:p w14:paraId="09F5222D" w14:textId="68EE2A59" w:rsidR="002408A6" w:rsidRDefault="14DA6B2C" w:rsidP="000B3375">
      <w:pPr>
        <w:pStyle w:val="NoSpacing"/>
        <w:spacing w:line="360" w:lineRule="auto"/>
        <w:rPr>
          <w:b/>
          <w:bCs/>
        </w:rPr>
      </w:pPr>
      <w:r w:rsidRPr="000B3375">
        <w:rPr>
          <w:b/>
          <w:i/>
          <w:iCs/>
        </w:rPr>
        <w:t>Global Business Risk and Commodity Pricing</w:t>
      </w:r>
      <w:r w:rsidRPr="000B3375">
        <w:rPr>
          <w:b/>
        </w:rPr>
        <w:t xml:space="preserve">: </w:t>
      </w:r>
      <w:r>
        <w:t xml:space="preserve">As a geographically diversified company with 40% of revenues </w:t>
      </w:r>
      <w:r w:rsidR="746BEF2F">
        <w:t xml:space="preserve">resulting </w:t>
      </w:r>
      <w:r>
        <w:t xml:space="preserve">from </w:t>
      </w:r>
      <w:r w:rsidR="746BEF2F">
        <w:t>transactions outside the US</w:t>
      </w:r>
      <w:r>
        <w:t xml:space="preserve">, MKC faces risk from its exposure to global currency </w:t>
      </w:r>
      <w:r>
        <w:lastRenderedPageBreak/>
        <w:t>fluctuations. In add</w:t>
      </w:r>
      <w:r w:rsidR="001A69EE">
        <w:t>ition, a significant portion of</w:t>
      </w:r>
      <w:r>
        <w:t xml:space="preserve"> cost of goods sold result from the purchase of raw materials</w:t>
      </w:r>
      <w:r w:rsidR="746BEF2F">
        <w:t>, especially</w:t>
      </w:r>
      <w:r>
        <w:t xml:space="preserve"> vanilla, pepper, capsicums</w:t>
      </w:r>
      <w:r w:rsidR="008C2159">
        <w:t>,</w:t>
      </w:r>
      <w:r>
        <w:t xml:space="preserve"> and garlic. The majority of these goods are purchased outside of the US</w:t>
      </w:r>
      <w:r w:rsidR="000B3375">
        <w:t>,</w:t>
      </w:r>
      <w:r>
        <w:t xml:space="preserve"> where pricing can be volatile due to unpred</w:t>
      </w:r>
      <w:r w:rsidR="001A69EE">
        <w:t xml:space="preserve">ictable weather, domestic costs, </w:t>
      </w:r>
      <w:r>
        <w:t xml:space="preserve">and government subsidies. While MKC does not use derivatives to hedge this type of risk, they </w:t>
      </w:r>
      <w:r w:rsidR="000B3375">
        <w:t>do</w:t>
      </w:r>
      <w:r>
        <w:t xml:space="preserve"> use customer price adjustments and future delivery purchases to mi</w:t>
      </w:r>
      <w:r w:rsidR="000B3375">
        <w:t xml:space="preserve">tigate any resulting exposure. </w:t>
      </w:r>
    </w:p>
    <w:p w14:paraId="18EFDB0E" w14:textId="445D1399" w:rsidR="002408A6" w:rsidRDefault="06EC6E19" w:rsidP="000B3375">
      <w:pPr>
        <w:pStyle w:val="NoSpacing"/>
        <w:spacing w:line="360" w:lineRule="auto"/>
        <w:rPr>
          <w:i/>
        </w:rPr>
      </w:pPr>
      <w:r w:rsidRPr="000B3375">
        <w:rPr>
          <w:b/>
          <w:i/>
          <w:iCs/>
        </w:rPr>
        <w:t>Highly Competitive Industry:</w:t>
      </w:r>
      <w:r w:rsidRPr="000B3375">
        <w:rPr>
          <w:b/>
        </w:rPr>
        <w:t xml:space="preserve"> </w:t>
      </w:r>
      <w:r w:rsidRPr="06EC6E19">
        <w:t xml:space="preserve">The spices and seasoning sector is very competitive. </w:t>
      </w:r>
      <w:r w:rsidR="746BEF2F">
        <w:t xml:space="preserve">With extremely low-cost products, companies must compete on other values such as unique flavors, visual </w:t>
      </w:r>
      <w:r w:rsidR="000B3375">
        <w:t>appeal,</w:t>
      </w:r>
      <w:r w:rsidR="746BEF2F">
        <w:t xml:space="preserve"> and </w:t>
      </w:r>
      <w:r w:rsidR="000B3375">
        <w:t>shelving</w:t>
      </w:r>
      <w:r w:rsidR="746BEF2F">
        <w:t xml:space="preserve"> placement. </w:t>
      </w:r>
      <w:r w:rsidR="000B3375">
        <w:t xml:space="preserve">In addition to peers used in the EV/EBITDA valuation model, </w:t>
      </w:r>
      <w:r w:rsidR="746BEF2F">
        <w:t xml:space="preserve">MKC competes against national players </w:t>
      </w:r>
      <w:r w:rsidR="000B3375">
        <w:t>such as Hormel, Kraft</w:t>
      </w:r>
      <w:r w:rsidR="004D2FEC">
        <w:t>,</w:t>
      </w:r>
      <w:r w:rsidR="000B3375">
        <w:t xml:space="preserve"> and Heinz</w:t>
      </w:r>
      <w:r w:rsidR="004D2FEC">
        <w:t xml:space="preserve">, </w:t>
      </w:r>
      <w:r w:rsidR="746BEF2F">
        <w:t xml:space="preserve">and </w:t>
      </w:r>
      <w:r w:rsidR="004D2FEC">
        <w:t>is able to mitigate</w:t>
      </w:r>
      <w:r w:rsidR="746BEF2F">
        <w:t xml:space="preserve"> resulting risk through leveraging its competitive advantages and responding quickly to changing consumer tastes. </w:t>
      </w:r>
    </w:p>
    <w:p w14:paraId="788E6063" w14:textId="49EDA284" w:rsidR="14DA6B2C" w:rsidRDefault="746BEF2F" w:rsidP="14DA6B2C">
      <w:pPr>
        <w:pStyle w:val="NoSpacing"/>
        <w:spacing w:line="360" w:lineRule="auto"/>
      </w:pPr>
      <w:r w:rsidRPr="000B3375">
        <w:rPr>
          <w:b/>
          <w:i/>
          <w:iCs/>
        </w:rPr>
        <w:t>Concentrated Buying Power:</w:t>
      </w:r>
      <w:r w:rsidRPr="746BEF2F">
        <w:rPr>
          <w:i/>
          <w:iCs/>
        </w:rPr>
        <w:t xml:space="preserve"> </w:t>
      </w:r>
      <w:r w:rsidRPr="746BEF2F">
        <w:t>MKC receives about 20% of its revenue from two customers: WalMart and PepsiCo (FY 2016). This gives a large amount of pricing power to a small number of companies. If these companies decided to switch producers, that would have an unfavorable impact on MKC. However, MKC has excellent r</w:t>
      </w:r>
      <w:r w:rsidR="004D2FEC">
        <w:t xml:space="preserve">elationships with its customers, so </w:t>
      </w:r>
      <w:r w:rsidRPr="746BEF2F">
        <w:t xml:space="preserve">we see low probability of this occurring. </w:t>
      </w:r>
    </w:p>
    <w:p w14:paraId="6CD5CA4F" w14:textId="4318DC20" w:rsidR="00D271A2" w:rsidRPr="000B3375" w:rsidRDefault="00D271A2" w:rsidP="000B3375">
      <w:pPr>
        <w:pStyle w:val="Heading1"/>
      </w:pPr>
      <w:r w:rsidRPr="000B3375">
        <w:t>Management</w:t>
      </w:r>
    </w:p>
    <w:p w14:paraId="1FDA153B" w14:textId="283BD4E6" w:rsidR="006D0DE8" w:rsidRPr="00287446" w:rsidRDefault="00CC3740" w:rsidP="00287446">
      <w:pPr>
        <w:spacing w:line="360" w:lineRule="auto"/>
        <w:rPr>
          <w:rFonts w:eastAsia="Times New Roman" w:cs="Times New Roman"/>
        </w:rPr>
      </w:pPr>
      <w:r w:rsidRPr="00287446">
        <w:t xml:space="preserve">Lawrence E Kurzius </w:t>
      </w:r>
      <w:r w:rsidR="00222E42" w:rsidRPr="00287446">
        <w:t xml:space="preserve">(59) </w:t>
      </w:r>
      <w:r w:rsidR="007F31BD">
        <w:t xml:space="preserve">currently </w:t>
      </w:r>
      <w:r w:rsidR="00222E42" w:rsidRPr="00287446">
        <w:t xml:space="preserve">serves as the Chairman, </w:t>
      </w:r>
      <w:r w:rsidRPr="00287446">
        <w:t>President</w:t>
      </w:r>
      <w:r w:rsidR="00222E42" w:rsidRPr="00287446">
        <w:t>,</w:t>
      </w:r>
      <w:r w:rsidRPr="00287446">
        <w:t xml:space="preserve"> and Chief Executive Officer for MKC. </w:t>
      </w:r>
      <w:r w:rsidR="006E34CE" w:rsidRPr="00287446">
        <w:t>Mr. Kurzius was first elected on the board in 2015 as Chief Operating Officer and President</w:t>
      </w:r>
      <w:r w:rsidR="00634D4A">
        <w:t xml:space="preserve">. In February 2016, he was </w:t>
      </w:r>
      <w:r w:rsidR="007F31BD">
        <w:t>named</w:t>
      </w:r>
      <w:r w:rsidR="00222E42" w:rsidRPr="00287446">
        <w:t xml:space="preserve"> C</w:t>
      </w:r>
      <w:r w:rsidR="007F31BD">
        <w:t xml:space="preserve">hief </w:t>
      </w:r>
      <w:r w:rsidR="00222E42" w:rsidRPr="00287446">
        <w:t>E</w:t>
      </w:r>
      <w:r w:rsidR="007F31BD">
        <w:t xml:space="preserve">xecutive </w:t>
      </w:r>
      <w:r w:rsidR="00222E42" w:rsidRPr="00287446">
        <w:t>O</w:t>
      </w:r>
      <w:r w:rsidR="007F31BD">
        <w:t>fficer</w:t>
      </w:r>
      <w:r w:rsidR="00634D4A">
        <w:t xml:space="preserve"> </w:t>
      </w:r>
      <w:r w:rsidR="00222E42" w:rsidRPr="00287446">
        <w:t>a</w:t>
      </w:r>
      <w:r w:rsidR="00634D4A">
        <w:t xml:space="preserve">nd one year later named Chairman of the Board. His </w:t>
      </w:r>
      <w:r w:rsidR="005E7E7D" w:rsidRPr="00287446">
        <w:t>combined compensation</w:t>
      </w:r>
      <w:r w:rsidR="00522294" w:rsidRPr="00287446">
        <w:t xml:space="preserve"> </w:t>
      </w:r>
      <w:r w:rsidR="007F31BD">
        <w:t>in</w:t>
      </w:r>
      <w:r w:rsidR="00634D4A">
        <w:t xml:space="preserve"> 2017 was </w:t>
      </w:r>
      <w:r w:rsidR="005E7E7D" w:rsidRPr="00287446">
        <w:t>$9 million</w:t>
      </w:r>
      <w:r w:rsidR="746BEF2F">
        <w:t>, wit</w:t>
      </w:r>
      <w:r w:rsidR="746BEF2F" w:rsidRPr="746BEF2F">
        <w:t>h a majority from stock options.</w:t>
      </w:r>
      <w:r w:rsidR="005E7E7D" w:rsidRPr="00287446">
        <w:t xml:space="preserve"> </w:t>
      </w:r>
      <w:r w:rsidRPr="00287446">
        <w:t xml:space="preserve">Michael R Smith (53) </w:t>
      </w:r>
      <w:r w:rsidR="007F31BD">
        <w:t xml:space="preserve">currently </w:t>
      </w:r>
      <w:r w:rsidRPr="00287446">
        <w:t>serves as the Executive Vice President and C</w:t>
      </w:r>
      <w:r w:rsidR="006D0DE8" w:rsidRPr="00287446">
        <w:t>hief Financial Officer</w:t>
      </w:r>
      <w:r w:rsidR="007F31BD">
        <w:t xml:space="preserve"> for MKC</w:t>
      </w:r>
      <w:r w:rsidR="006D0DE8" w:rsidRPr="00287446">
        <w:t xml:space="preserve">. </w:t>
      </w:r>
      <w:r w:rsidR="007F31BD">
        <w:t>Mr.</w:t>
      </w:r>
      <w:r w:rsidR="006D0DE8" w:rsidRPr="00287446">
        <w:t xml:space="preserve"> Smith was elected to his</w:t>
      </w:r>
      <w:r w:rsidR="00F744BF">
        <w:t xml:space="preserve"> current</w:t>
      </w:r>
      <w:r w:rsidR="006D0DE8" w:rsidRPr="00287446">
        <w:t xml:space="preserve"> positions</w:t>
      </w:r>
      <w:r w:rsidR="007F31BD" w:rsidRPr="746BEF2F">
        <w:t xml:space="preserve"> September 1, 2016</w:t>
      </w:r>
      <w:r w:rsidR="00C27708" w:rsidRPr="746BEF2F">
        <w:t xml:space="preserve"> after holding various roles within the company</w:t>
      </w:r>
      <w:r w:rsidR="006D0DE8" w:rsidRPr="746BEF2F">
        <w:t>.</w:t>
      </w:r>
    </w:p>
    <w:p w14:paraId="3CC5D789" w14:textId="464D69B9" w:rsidR="00D85366" w:rsidRDefault="00D85366" w:rsidP="746BEF2F">
      <w:pPr>
        <w:pStyle w:val="NoSpacing"/>
        <w:spacing w:line="360" w:lineRule="auto"/>
        <w:rPr>
          <w:b/>
        </w:rPr>
      </w:pPr>
    </w:p>
    <w:p w14:paraId="2899C261" w14:textId="77777777" w:rsidR="00D85366" w:rsidRDefault="00D85366" w:rsidP="00565D08">
      <w:pPr>
        <w:pStyle w:val="NoSpacing"/>
        <w:jc w:val="center"/>
        <w:rPr>
          <w:b/>
        </w:rPr>
      </w:pPr>
    </w:p>
    <w:p w14:paraId="343CAC97" w14:textId="77777777" w:rsidR="00D85366" w:rsidRDefault="00D85366" w:rsidP="00565D08">
      <w:pPr>
        <w:pStyle w:val="NoSpacing"/>
        <w:jc w:val="center"/>
        <w:rPr>
          <w:b/>
        </w:rPr>
      </w:pPr>
    </w:p>
    <w:p w14:paraId="052C36A8" w14:textId="77777777" w:rsidR="00D85366" w:rsidRDefault="00D85366" w:rsidP="00565D08">
      <w:pPr>
        <w:pStyle w:val="NoSpacing"/>
        <w:jc w:val="center"/>
        <w:rPr>
          <w:b/>
        </w:rPr>
      </w:pPr>
    </w:p>
    <w:p w14:paraId="6956433F" w14:textId="4233503B" w:rsidR="009C4467" w:rsidRPr="000B3375" w:rsidRDefault="00D271A2" w:rsidP="000B3375">
      <w:pPr>
        <w:pStyle w:val="Heading1"/>
      </w:pPr>
      <w:r w:rsidRPr="000B3375">
        <w:lastRenderedPageBreak/>
        <w:t>Stock Chart of Past Year Performance</w:t>
      </w:r>
    </w:p>
    <w:p w14:paraId="496FFF86" w14:textId="274009BE" w:rsidR="00565D08" w:rsidRPr="00170761" w:rsidRDefault="00565D08" w:rsidP="00565D08">
      <w:pPr>
        <w:pStyle w:val="Caption"/>
        <w:keepNext/>
        <w:spacing w:after="0"/>
        <w:rPr>
          <w:b/>
          <w:color w:val="auto"/>
        </w:rPr>
      </w:pPr>
      <w:r w:rsidRPr="00170761">
        <w:rPr>
          <w:b/>
          <w:color w:val="auto"/>
        </w:rPr>
        <w:t xml:space="preserve">Figure </w:t>
      </w:r>
      <w:r w:rsidRPr="36E98EF4">
        <w:fldChar w:fldCharType="begin"/>
      </w:r>
      <w:r w:rsidRPr="00170761">
        <w:rPr>
          <w:b/>
          <w:color w:val="auto"/>
        </w:rPr>
        <w:instrText xml:space="preserve"> SEQ Figure \* ARABIC </w:instrText>
      </w:r>
      <w:r w:rsidRPr="36E98EF4">
        <w:rPr>
          <w:b/>
          <w:color w:val="auto"/>
        </w:rPr>
        <w:fldChar w:fldCharType="separate"/>
      </w:r>
      <w:r w:rsidRPr="00170761">
        <w:rPr>
          <w:b/>
          <w:noProof/>
          <w:color w:val="auto"/>
        </w:rPr>
        <w:t>1</w:t>
      </w:r>
      <w:r w:rsidRPr="36E98EF4">
        <w:fldChar w:fldCharType="end"/>
      </w:r>
      <w:r w:rsidRPr="00170761">
        <w:rPr>
          <w:b/>
          <w:color w:val="auto"/>
        </w:rPr>
        <w:t>: MKC Stock Prices</w:t>
      </w:r>
    </w:p>
    <w:p w14:paraId="1C46AF86" w14:textId="6EF45B0F" w:rsidR="00565D08" w:rsidRDefault="00565D08" w:rsidP="00565D08">
      <w:pPr>
        <w:pStyle w:val="NoSpacing"/>
        <w:spacing w:line="276" w:lineRule="auto"/>
        <w:rPr>
          <w:b/>
        </w:rPr>
      </w:pPr>
      <w:r>
        <w:rPr>
          <w:b/>
          <w:noProof/>
        </w:rPr>
        <mc:AlternateContent>
          <mc:Choice Requires="wps">
            <w:drawing>
              <wp:anchor distT="0" distB="0" distL="114300" distR="114300" simplePos="0" relativeHeight="251658240" behindDoc="0" locked="0" layoutInCell="1" allowOverlap="1" wp14:anchorId="396C0760" wp14:editId="0DF37DD7">
                <wp:simplePos x="0" y="0"/>
                <wp:positionH relativeFrom="column">
                  <wp:posOffset>7620</wp:posOffset>
                </wp:positionH>
                <wp:positionV relativeFrom="paragraph">
                  <wp:posOffset>2011680</wp:posOffset>
                </wp:positionV>
                <wp:extent cx="5953125" cy="236220"/>
                <wp:effectExtent l="0" t="0" r="28575" b="11430"/>
                <wp:wrapNone/>
                <wp:docPr id="1" name="Text Box 1"/>
                <wp:cNvGraphicFramePr/>
                <a:graphic xmlns:a="http://schemas.openxmlformats.org/drawingml/2006/main">
                  <a:graphicData uri="http://schemas.microsoft.com/office/word/2010/wordprocessingShape">
                    <wps:wsp>
                      <wps:cNvSpPr txBox="1"/>
                      <wps:spPr>
                        <a:xfrm>
                          <a:off x="0" y="0"/>
                          <a:ext cx="5953125" cy="2362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E109AB6" w14:textId="2A977F88" w:rsidR="008C2159" w:rsidRPr="00863C97" w:rsidRDefault="008C2159" w:rsidP="00565D08">
                            <w:pPr>
                              <w:jc w:val="center"/>
                              <w:rPr>
                                <w:sz w:val="12"/>
                                <w:szCs w:val="12"/>
                              </w:rPr>
                            </w:pPr>
                            <w:r w:rsidRPr="00863C97">
                              <w:rPr>
                                <w:sz w:val="12"/>
                                <w:szCs w:val="12"/>
                              </w:rPr>
                              <w:t>Source: Bloomberg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C0760" id="_x0000_t202" coordsize="21600,21600" o:spt="202" path="m,l,21600r21600,l21600,xe">
                <v:stroke joinstyle="miter"/>
                <v:path gradientshapeok="t" o:connecttype="rect"/>
              </v:shapetype>
              <v:shape id="Text Box 1" o:spid="_x0000_s1026" type="#_x0000_t202" style="position:absolute;margin-left:.6pt;margin-top:158.4pt;width:468.75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rl+kAIAALIFAAAOAAAAZHJzL2Uyb0RvYy54bWysVEtvGyEQvlfqf0Dcm7Wd2G2srCM3katK&#10;VhI1qXLGLNiowFDA3nV/fQZ2/UjqS6pedoH55vXN4+q6MZpshA8KbEn7Zz1KhOVQKbss6c+n2acv&#10;lITIbMU0WFHSrQj0evLxw1XtxmIAK9CV8ASN2DCuXUlXMbpxUQS+EoaFM3DColCCNyzi1S+LyrMa&#10;rRtdDHq9UVGDr5wHLkLA19tWSCfZvpSCx3spg4hElxRji/nr83eRvsXkio2XnrmV4l0Y7B+iMExZ&#10;dLo3dcsiI2uv/jJlFPcQQMYzDqYAKRUXOQfMpt97k83jijmRc0FygtvTFP6fWX63efBEVVg7Siwz&#10;WKIn0UTyFRrST+zULowR9OgQFht8TsjuPeBjSrqR3qQ/pkNQjjxv99wmYxwfh5fD8/5gSAlH2eB8&#10;NBhk8ouDtvMhfhNgSDqU1GPtMqVsMw8RPSJ0B0nOAmhVzZTW+ZL6RdxoTzYMK61jjhE1XqG0JXVJ&#10;R+fDXjb8SpY77mBhsTxhAe1pm9yJ3FldWImhlol8ilstEkbbH0Iis5mQEzEyzoXdx5nRCSUxo/co&#10;dvhDVO9RbvNAjewZbNwrG2XBtyy9prb6tSNGtngszFHe6RibRdN1yAKqLTaOh3bwguMzhdWdsxAf&#10;mMdJw17B7RHv8SM1YHWgO1GyAv/n1HvC4wCglJIaJ7ek4feaeUGJ/m5xNC77Fxdp1PPlYvgZG434&#10;Y8niWGLX5gawZbD9Mbp8TPiod0fpwTzjkpkmryhilqPvksbd8Sa2+wSXFBfTaQbhcDsW5/bR8WQ6&#10;0Zt696l5Zt51DR5xNO5gN+Ns/KbPW2zStDBdR5AqD0EiuGW1Ix4XQ56NbomlzXN8z6jDqp28AAAA&#10;//8DAFBLAwQUAAYACAAAACEAxFhIRN4AAAAJAQAADwAAAGRycy9kb3ducmV2LnhtbEyPQUvDQBCF&#10;74L/YRnBm920iW2M2ZSgiGAFsfXibZqMSTA7G7LbNv33jic9vnmPN9/L15Pt1ZFG3zk2MJ9FoIgr&#10;V3fcGPjYPd2koHxArrF3TAbO5GFdXF7kmNXuxO903IZGSQn7DA20IQyZ1r5qyaKfuYFYvC83Wgwi&#10;x0bXI56k3PZ6EUVLbbFj+dDiQA8tVd/bgzXwknziYxw2dA48vZXlczok/tWY66upvAcVaAp/YfjF&#10;F3QohGnvDlx71YteSNBAPF/KAvHv4nQFai+X2yQCXeT6/4LiBwAA//8DAFBLAQItABQABgAIAAAA&#10;IQC2gziS/gAAAOEBAAATAAAAAAAAAAAAAAAAAAAAAABbQ29udGVudF9UeXBlc10ueG1sUEsBAi0A&#10;FAAGAAgAAAAhADj9If/WAAAAlAEAAAsAAAAAAAAAAAAAAAAALwEAAF9yZWxzLy5yZWxzUEsBAi0A&#10;FAAGAAgAAAAhAPyuuX6QAgAAsgUAAA4AAAAAAAAAAAAAAAAALgIAAGRycy9lMm9Eb2MueG1sUEsB&#10;Ai0AFAAGAAgAAAAhAMRYSETeAAAACQEAAA8AAAAAAAAAAAAAAAAA6gQAAGRycy9kb3ducmV2Lnht&#10;bFBLBQYAAAAABAAEAPMAAAD1BQAAAAA=&#10;" fillcolor="white [3201]" strokecolor="white [3212]" strokeweight=".5pt">
                <v:textbox>
                  <w:txbxContent>
                    <w:p w14:paraId="0E109AB6" w14:textId="2A977F88" w:rsidR="008C2159" w:rsidRPr="00863C97" w:rsidRDefault="008C2159" w:rsidP="00565D08">
                      <w:pPr>
                        <w:jc w:val="center"/>
                        <w:rPr>
                          <w:sz w:val="12"/>
                          <w:szCs w:val="12"/>
                        </w:rPr>
                      </w:pPr>
                      <w:r w:rsidRPr="00863C97">
                        <w:rPr>
                          <w:sz w:val="12"/>
                          <w:szCs w:val="12"/>
                        </w:rPr>
                        <w:t>Source: Bloomberg</w:t>
                      </w:r>
                    </w:p>
                  </w:txbxContent>
                </v:textbox>
              </v:shape>
            </w:pict>
          </mc:Fallback>
        </mc:AlternateContent>
      </w:r>
      <w:r w:rsidR="006E34CE">
        <w:rPr>
          <w:b/>
          <w:noProof/>
        </w:rPr>
        <w:drawing>
          <wp:inline distT="0" distB="0" distL="0" distR="0" wp14:anchorId="53F2433C" wp14:editId="550C40DC">
            <wp:extent cx="5943600" cy="2020570"/>
            <wp:effectExtent l="19050" t="19050" r="19050" b="177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0313" cy="2029651"/>
                    </a:xfrm>
                    <a:prstGeom prst="rect">
                      <a:avLst/>
                    </a:prstGeom>
                    <a:noFill/>
                    <a:ln>
                      <a:solidFill>
                        <a:schemeClr val="tx1"/>
                      </a:solidFill>
                    </a:ln>
                  </pic:spPr>
                </pic:pic>
              </a:graphicData>
            </a:graphic>
          </wp:inline>
        </w:drawing>
      </w:r>
    </w:p>
    <w:p w14:paraId="0DE395BE" w14:textId="77777777" w:rsidR="00565D08" w:rsidRDefault="00565D08" w:rsidP="00565D08">
      <w:pPr>
        <w:pStyle w:val="NoSpacing"/>
        <w:spacing w:line="276" w:lineRule="auto"/>
        <w:rPr>
          <w:b/>
        </w:rPr>
      </w:pPr>
    </w:p>
    <w:p w14:paraId="13F4F03D" w14:textId="48B7DF4B" w:rsidR="00D271A2" w:rsidRPr="000B3375" w:rsidRDefault="00D271A2" w:rsidP="000B3375">
      <w:pPr>
        <w:pStyle w:val="Heading1"/>
      </w:pPr>
      <w:r w:rsidRPr="000B3375">
        <w:t>Peer Analysis</w:t>
      </w:r>
      <w:bookmarkStart w:id="0" w:name="_GoBack"/>
      <w:bookmarkEnd w:id="0"/>
    </w:p>
    <w:p w14:paraId="48B33FDB" w14:textId="2829F36D" w:rsidR="00565D08" w:rsidRPr="00170761" w:rsidRDefault="00565D08" w:rsidP="00565D08">
      <w:pPr>
        <w:pStyle w:val="Caption"/>
        <w:keepNext/>
        <w:spacing w:after="0"/>
        <w:jc w:val="both"/>
        <w:rPr>
          <w:b/>
          <w:color w:val="auto"/>
        </w:rPr>
      </w:pPr>
      <w:r w:rsidRPr="00170761">
        <w:rPr>
          <w:b/>
          <w:color w:val="auto"/>
        </w:rPr>
        <w:t xml:space="preserve">Table </w:t>
      </w:r>
      <w:r w:rsidRPr="36E98EF4">
        <w:fldChar w:fldCharType="begin"/>
      </w:r>
      <w:r w:rsidRPr="00170761">
        <w:rPr>
          <w:b/>
          <w:color w:val="auto"/>
        </w:rPr>
        <w:instrText xml:space="preserve"> SEQ Table \* ARABIC </w:instrText>
      </w:r>
      <w:r w:rsidRPr="36E98EF4">
        <w:rPr>
          <w:b/>
          <w:color w:val="auto"/>
        </w:rPr>
        <w:fldChar w:fldCharType="separate"/>
      </w:r>
      <w:r w:rsidRPr="00170761">
        <w:rPr>
          <w:b/>
          <w:noProof/>
          <w:color w:val="auto"/>
        </w:rPr>
        <w:t>1</w:t>
      </w:r>
      <w:r w:rsidRPr="36E98EF4">
        <w:fldChar w:fldCharType="end"/>
      </w:r>
      <w:r w:rsidRPr="00170761">
        <w:rPr>
          <w:b/>
          <w:color w:val="auto"/>
        </w:rPr>
        <w:t>: Valuation Peer Analysis</w:t>
      </w:r>
    </w:p>
    <w:p w14:paraId="68D4522A" w14:textId="6511DC12" w:rsidR="008D388E" w:rsidRDefault="006C1C0F" w:rsidP="006E34CE">
      <w:pPr>
        <w:pStyle w:val="NoSpacing"/>
        <w:spacing w:line="360" w:lineRule="auto"/>
        <w:jc w:val="both"/>
        <w:rPr>
          <w:b/>
        </w:rPr>
      </w:pPr>
      <w:r w:rsidRPr="006C1C0F">
        <w:rPr>
          <w:noProof/>
        </w:rPr>
        <w:drawing>
          <wp:inline distT="0" distB="0" distL="0" distR="0" wp14:anchorId="5049EE88" wp14:editId="01FDB5A6">
            <wp:extent cx="5943600" cy="116986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169869"/>
                    </a:xfrm>
                    <a:prstGeom prst="rect">
                      <a:avLst/>
                    </a:prstGeom>
                    <a:noFill/>
                    <a:ln>
                      <a:noFill/>
                    </a:ln>
                  </pic:spPr>
                </pic:pic>
              </a:graphicData>
            </a:graphic>
          </wp:inline>
        </w:drawing>
      </w:r>
    </w:p>
    <w:p w14:paraId="77A67A89" w14:textId="13CA183B" w:rsidR="00D271A2" w:rsidRPr="000B3375" w:rsidRDefault="005E50C1" w:rsidP="000B3375">
      <w:pPr>
        <w:pStyle w:val="Heading1"/>
      </w:pPr>
      <w:r w:rsidRPr="000B3375">
        <w:t>Ownership</w:t>
      </w:r>
    </w:p>
    <w:p w14:paraId="0EB8D123" w14:textId="0C6AA7E4" w:rsidR="00565D08" w:rsidRPr="00170761" w:rsidRDefault="00565D08" w:rsidP="00565D08">
      <w:pPr>
        <w:pStyle w:val="Caption"/>
        <w:keepNext/>
        <w:spacing w:after="0"/>
        <w:rPr>
          <w:b/>
          <w:color w:val="auto"/>
        </w:rPr>
      </w:pPr>
      <w:r w:rsidRPr="00170761">
        <w:rPr>
          <w:b/>
          <w:color w:val="auto"/>
        </w:rPr>
        <w:t xml:space="preserve">Table </w:t>
      </w:r>
      <w:r w:rsidRPr="36E98EF4">
        <w:fldChar w:fldCharType="begin"/>
      </w:r>
      <w:r w:rsidRPr="00170761">
        <w:rPr>
          <w:b/>
          <w:color w:val="auto"/>
        </w:rPr>
        <w:instrText xml:space="preserve"> SEQ Table \* ARABIC </w:instrText>
      </w:r>
      <w:r w:rsidRPr="36E98EF4">
        <w:rPr>
          <w:b/>
          <w:color w:val="auto"/>
        </w:rPr>
        <w:fldChar w:fldCharType="separate"/>
      </w:r>
      <w:r w:rsidRPr="00170761">
        <w:rPr>
          <w:b/>
          <w:noProof/>
          <w:color w:val="auto"/>
        </w:rPr>
        <w:t>2</w:t>
      </w:r>
      <w:r w:rsidRPr="36E98EF4">
        <w:fldChar w:fldCharType="end"/>
      </w:r>
      <w:r w:rsidRPr="00170761">
        <w:rPr>
          <w:b/>
          <w:color w:val="auto"/>
        </w:rPr>
        <w:t>: MKC Ownership</w:t>
      </w:r>
    </w:p>
    <w:p w14:paraId="6AB6AE20" w14:textId="39DECC6B" w:rsidR="005E50C1" w:rsidRDefault="006E34CE" w:rsidP="005E50C1">
      <w:pPr>
        <w:pStyle w:val="NoSpacing"/>
        <w:spacing w:line="360" w:lineRule="auto"/>
        <w:rPr>
          <w:b/>
        </w:rPr>
      </w:pPr>
      <w:r w:rsidRPr="006E34CE">
        <w:rPr>
          <w:noProof/>
        </w:rPr>
        <w:drawing>
          <wp:inline distT="0" distB="0" distL="0" distR="0" wp14:anchorId="65ED9C48" wp14:editId="096DD64B">
            <wp:extent cx="5943600" cy="45667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56676"/>
                    </a:xfrm>
                    <a:prstGeom prst="rect">
                      <a:avLst/>
                    </a:prstGeom>
                    <a:noFill/>
                    <a:ln>
                      <a:noFill/>
                    </a:ln>
                  </pic:spPr>
                </pic:pic>
              </a:graphicData>
            </a:graphic>
          </wp:inline>
        </w:drawing>
      </w:r>
    </w:p>
    <w:p w14:paraId="685336B4" w14:textId="7D42E7C0" w:rsidR="00D271A2" w:rsidRPr="000B3375" w:rsidRDefault="00D271A2" w:rsidP="000B3375">
      <w:pPr>
        <w:pStyle w:val="Heading1"/>
      </w:pPr>
      <w:r w:rsidRPr="000B3375">
        <w:t>Top 5 Shareholders</w:t>
      </w:r>
    </w:p>
    <w:p w14:paraId="23E58EEF" w14:textId="1C309E21" w:rsidR="00565D08" w:rsidRPr="00170761" w:rsidRDefault="00565D08" w:rsidP="00565D08">
      <w:pPr>
        <w:pStyle w:val="Caption"/>
        <w:keepNext/>
        <w:spacing w:after="0"/>
        <w:rPr>
          <w:b/>
          <w:color w:val="auto"/>
        </w:rPr>
      </w:pPr>
      <w:r w:rsidRPr="00170761">
        <w:rPr>
          <w:b/>
          <w:color w:val="auto"/>
        </w:rPr>
        <w:t xml:space="preserve">Table </w:t>
      </w:r>
      <w:r w:rsidRPr="36E98EF4">
        <w:fldChar w:fldCharType="begin"/>
      </w:r>
      <w:r w:rsidRPr="00170761">
        <w:rPr>
          <w:b/>
          <w:color w:val="auto"/>
        </w:rPr>
        <w:instrText xml:space="preserve"> SEQ Table \* ARABIC </w:instrText>
      </w:r>
      <w:r w:rsidRPr="36E98EF4">
        <w:rPr>
          <w:b/>
          <w:color w:val="auto"/>
        </w:rPr>
        <w:fldChar w:fldCharType="separate"/>
      </w:r>
      <w:r w:rsidRPr="00170761">
        <w:rPr>
          <w:b/>
          <w:noProof/>
          <w:color w:val="auto"/>
        </w:rPr>
        <w:t>3</w:t>
      </w:r>
      <w:r w:rsidRPr="36E98EF4">
        <w:fldChar w:fldCharType="end"/>
      </w:r>
      <w:r w:rsidRPr="00170761">
        <w:rPr>
          <w:b/>
          <w:color w:val="auto"/>
        </w:rPr>
        <w:t>: MKC Top 5 Shareholders</w:t>
      </w:r>
    </w:p>
    <w:p w14:paraId="713231CC" w14:textId="458CE965" w:rsidR="00D271A2" w:rsidRDefault="006E34CE" w:rsidP="00713D5A">
      <w:pPr>
        <w:pStyle w:val="NoSpacing"/>
        <w:spacing w:line="360" w:lineRule="auto"/>
      </w:pPr>
      <w:r w:rsidRPr="006E34CE">
        <w:rPr>
          <w:noProof/>
        </w:rPr>
        <w:drawing>
          <wp:inline distT="0" distB="0" distL="0" distR="0" wp14:anchorId="67205366" wp14:editId="69D73383">
            <wp:extent cx="5943600" cy="11110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111017"/>
                    </a:xfrm>
                    <a:prstGeom prst="rect">
                      <a:avLst/>
                    </a:prstGeom>
                    <a:noFill/>
                    <a:ln>
                      <a:noFill/>
                    </a:ln>
                  </pic:spPr>
                </pic:pic>
              </a:graphicData>
            </a:graphic>
          </wp:inline>
        </w:drawing>
      </w:r>
    </w:p>
    <w:p w14:paraId="6FB540D4" w14:textId="0B3CC7EA" w:rsidR="00E82365" w:rsidRDefault="00E82365" w:rsidP="00087784"/>
    <w:p w14:paraId="52CB6277" w14:textId="7E756709" w:rsidR="00087784" w:rsidRPr="00087784" w:rsidRDefault="00087784" w:rsidP="00087784">
      <w:pPr>
        <w:rPr>
          <w:b/>
        </w:rPr>
      </w:pPr>
    </w:p>
    <w:p w14:paraId="6403B43A" w14:textId="77777777" w:rsidR="00E82365" w:rsidRPr="00E82365" w:rsidRDefault="00E82365" w:rsidP="00E82365"/>
    <w:p w14:paraId="145312E9" w14:textId="6EF53D1F" w:rsidR="001E7005" w:rsidRPr="00E82365" w:rsidRDefault="00E82365" w:rsidP="00E82365">
      <w:pPr>
        <w:tabs>
          <w:tab w:val="left" w:pos="5424"/>
        </w:tabs>
      </w:pPr>
      <w:r>
        <w:tab/>
      </w:r>
    </w:p>
    <w:sectPr w:rsidR="001E7005" w:rsidRPr="00E8236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D5F00" w14:textId="77777777" w:rsidR="008F6955" w:rsidRDefault="008F6955" w:rsidP="00E82365">
      <w:pPr>
        <w:spacing w:after="0" w:line="240" w:lineRule="auto"/>
      </w:pPr>
      <w:r>
        <w:separator/>
      </w:r>
    </w:p>
  </w:endnote>
  <w:endnote w:type="continuationSeparator" w:id="0">
    <w:p w14:paraId="43FC4621" w14:textId="77777777" w:rsidR="008F6955" w:rsidRDefault="008F6955" w:rsidP="00E82365">
      <w:pPr>
        <w:spacing w:after="0" w:line="240" w:lineRule="auto"/>
      </w:pPr>
      <w:r>
        <w:continuationSeparator/>
      </w:r>
    </w:p>
  </w:endnote>
  <w:endnote w:type="continuationNotice" w:id="1">
    <w:p w14:paraId="6F77EC55" w14:textId="77777777" w:rsidR="008F6955" w:rsidRDefault="008F69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Harlow Solid Italic">
    <w:altName w:val="Playbill"/>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A4958" w14:textId="77777777" w:rsidR="008C2159" w:rsidRDefault="008C2159" w:rsidP="00E82365">
    <w:pPr>
      <w:pStyle w:val="Footer"/>
      <w:pBdr>
        <w:top w:val="single" w:sz="24" w:space="1" w:color="FFC000"/>
      </w:pBdr>
      <w:jc w:val="center"/>
      <w:rPr>
        <w:i/>
        <w:sz w:val="24"/>
        <w:szCs w:val="24"/>
      </w:rPr>
    </w:pPr>
    <w:r>
      <w:rPr>
        <w:i/>
        <w:sz w:val="24"/>
        <w:szCs w:val="24"/>
      </w:rPr>
      <w:t>Excellence.  Our Measure.  Our Motto.  Our Goal.</w:t>
    </w:r>
  </w:p>
  <w:p w14:paraId="4DEAD694" w14:textId="146482A9" w:rsidR="008C2159" w:rsidRPr="00E82365" w:rsidRDefault="008C2159" w:rsidP="00E82365">
    <w:pPr>
      <w:pStyle w:val="Footer"/>
      <w:pBdr>
        <w:top w:val="single" w:sz="24" w:space="1" w:color="FFC000"/>
      </w:pBdr>
      <w:tabs>
        <w:tab w:val="left" w:pos="4584"/>
      </w:tabs>
      <w:rPr>
        <w:i/>
        <w:sz w:val="24"/>
        <w:szCs w:val="24"/>
      </w:rPr>
    </w:pPr>
    <w:r>
      <w:rPr>
        <w:i/>
        <w:sz w:val="24"/>
        <w:szCs w:val="24"/>
      </w:rPr>
      <w:tab/>
    </w:r>
    <w:r>
      <w:rPr>
        <w:i/>
        <w:sz w:val="24"/>
        <w:szCs w:val="24"/>
      </w:rPr>
      <w:tab/>
    </w:r>
    <w:r>
      <w:rPr>
        <w:i/>
        <w:sz w:val="24"/>
        <w:szCs w:val="24"/>
      </w:rPr>
      <w:tab/>
      <w:t xml:space="preserve"> </w:t>
    </w:r>
    <w:r w:rsidRPr="00A34EFB">
      <w:rPr>
        <w:i/>
        <w:color w:val="7F7F7F" w:themeColor="background1" w:themeShade="7F"/>
        <w:spacing w:val="60"/>
        <w:sz w:val="24"/>
        <w:szCs w:val="24"/>
      </w:rPr>
      <w:t>Page</w:t>
    </w:r>
    <w:r w:rsidRPr="00A34EFB">
      <w:rPr>
        <w:i/>
        <w:sz w:val="24"/>
        <w:szCs w:val="24"/>
      </w:rPr>
      <w:t xml:space="preserve"> | </w:t>
    </w:r>
    <w:r w:rsidRPr="00A34EFB">
      <w:rPr>
        <w:i/>
        <w:sz w:val="24"/>
        <w:szCs w:val="24"/>
      </w:rPr>
      <w:fldChar w:fldCharType="begin"/>
    </w:r>
    <w:r w:rsidRPr="00A34EFB">
      <w:rPr>
        <w:i/>
        <w:sz w:val="24"/>
        <w:szCs w:val="24"/>
      </w:rPr>
      <w:instrText xml:space="preserve"> PAGE   \* MERGEFORMAT </w:instrText>
    </w:r>
    <w:r w:rsidRPr="00A34EFB">
      <w:rPr>
        <w:i/>
        <w:sz w:val="24"/>
        <w:szCs w:val="24"/>
      </w:rPr>
      <w:fldChar w:fldCharType="separate"/>
    </w:r>
    <w:r w:rsidR="00203987" w:rsidRPr="00203987">
      <w:rPr>
        <w:b/>
        <w:bCs/>
        <w:i/>
        <w:noProof/>
        <w:sz w:val="24"/>
        <w:szCs w:val="24"/>
      </w:rPr>
      <w:t>1</w:t>
    </w:r>
    <w:r w:rsidRPr="00A34EFB">
      <w:rPr>
        <w:b/>
        <w:bCs/>
        <w:i/>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32579" w14:textId="77777777" w:rsidR="008F6955" w:rsidRDefault="008F6955" w:rsidP="00E82365">
      <w:pPr>
        <w:spacing w:after="0" w:line="240" w:lineRule="auto"/>
      </w:pPr>
      <w:r>
        <w:separator/>
      </w:r>
    </w:p>
  </w:footnote>
  <w:footnote w:type="continuationSeparator" w:id="0">
    <w:p w14:paraId="16867744" w14:textId="77777777" w:rsidR="008F6955" w:rsidRDefault="008F6955" w:rsidP="00E82365">
      <w:pPr>
        <w:spacing w:after="0" w:line="240" w:lineRule="auto"/>
      </w:pPr>
      <w:r>
        <w:continuationSeparator/>
      </w:r>
    </w:p>
  </w:footnote>
  <w:footnote w:type="continuationNotice" w:id="1">
    <w:p w14:paraId="1715549A" w14:textId="77777777" w:rsidR="008F6955" w:rsidRDefault="008F695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F3528" w14:textId="77777777" w:rsidR="008C2159" w:rsidRPr="00475F7E" w:rsidRDefault="008C2159" w:rsidP="00E82365">
    <w:pPr>
      <w:pStyle w:val="NormalWeb"/>
      <w:pBdr>
        <w:bottom w:val="thickThinSmallGap" w:sz="24" w:space="1" w:color="FFC000"/>
      </w:pBdr>
      <w:tabs>
        <w:tab w:val="left" w:pos="4632"/>
        <w:tab w:val="right" w:pos="9360"/>
      </w:tabs>
      <w:spacing w:before="0" w:beforeAutospacing="0" w:after="0" w:afterAutospacing="0"/>
    </w:pPr>
    <w:r w:rsidRPr="00475F7E">
      <w:rPr>
        <w:rFonts w:ascii="Arial Black" w:eastAsiaTheme="minorEastAsia" w:hAnsi="Arial Black" w:cstheme="minorBidi"/>
        <w:color w:val="2F5496" w:themeColor="accent5" w:themeShade="BF"/>
        <w:kern w:val="24"/>
      </w:rPr>
      <w:t xml:space="preserve">UWEC </w:t>
    </w:r>
    <w:r w:rsidRPr="00475F7E">
      <w:rPr>
        <w:rFonts w:ascii="Harlow Solid Italic" w:eastAsiaTheme="minorEastAsia" w:hAnsi="Harlow Solid Italic" w:cstheme="minorBidi"/>
        <w:color w:val="2F5496" w:themeColor="accent5" w:themeShade="BF"/>
        <w:kern w:val="24"/>
      </w:rPr>
      <w:t xml:space="preserve">College of Business  </w:t>
    </w:r>
    <w:r>
      <w:rPr>
        <w:rFonts w:ascii="Harlow Solid Italic" w:eastAsiaTheme="minorEastAsia" w:hAnsi="Harlow Solid Italic" w:cstheme="minorBidi"/>
        <w:color w:val="2F5496" w:themeColor="accent5" w:themeShade="BF"/>
        <w:kern w:val="24"/>
      </w:rPr>
      <w:tab/>
    </w:r>
    <w:r>
      <w:rPr>
        <w:rFonts w:ascii="Harlow Solid Italic" w:eastAsiaTheme="minorEastAsia" w:hAnsi="Harlow Solid Italic" w:cstheme="minorBidi"/>
        <w:color w:val="2F5496" w:themeColor="accent5" w:themeShade="BF"/>
        <w:kern w:val="24"/>
      </w:rPr>
      <w:tab/>
    </w:r>
    <w:r w:rsidRPr="00475F7E">
      <w:rPr>
        <w:rFonts w:asciiTheme="minorHAnsi" w:eastAsiaTheme="minorEastAsia" w:hAnsi="Calibri" w:cstheme="minorBidi"/>
        <w:b/>
        <w:bCs/>
        <w:color w:val="2F5496" w:themeColor="accent5" w:themeShade="BF"/>
        <w:kern w:val="24"/>
      </w:rPr>
      <w:t xml:space="preserve">FIN439 Investment Strategies – </w:t>
    </w:r>
    <w:r>
      <w:rPr>
        <w:rFonts w:asciiTheme="minorHAnsi" w:eastAsiaTheme="minorEastAsia" w:hAnsi="Calibri" w:cstheme="minorBidi"/>
        <w:b/>
        <w:bCs/>
        <w:color w:val="2F5496" w:themeColor="accent5" w:themeShade="BF"/>
        <w:kern w:val="24"/>
      </w:rPr>
      <w:t>Spring 2018</w:t>
    </w:r>
  </w:p>
  <w:p w14:paraId="26D208DE" w14:textId="77777777" w:rsidR="008C2159" w:rsidRDefault="008C21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97069"/>
    <w:multiLevelType w:val="hybridMultilevel"/>
    <w:tmpl w:val="793EB894"/>
    <w:lvl w:ilvl="0" w:tplc="825ED2BC">
      <w:start w:val="1"/>
      <w:numFmt w:val="bullet"/>
      <w:lvlText w:val=""/>
      <w:lvlJc w:val="left"/>
      <w:pPr>
        <w:ind w:left="720" w:hanging="360"/>
      </w:pPr>
      <w:rPr>
        <w:rFonts w:ascii="Symbol" w:hAnsi="Symbol" w:hint="default"/>
      </w:rPr>
    </w:lvl>
    <w:lvl w:ilvl="1" w:tplc="F0545048">
      <w:start w:val="1"/>
      <w:numFmt w:val="bullet"/>
      <w:lvlText w:val="o"/>
      <w:lvlJc w:val="left"/>
      <w:pPr>
        <w:ind w:left="1440" w:hanging="360"/>
      </w:pPr>
      <w:rPr>
        <w:rFonts w:ascii="Courier New" w:hAnsi="Courier New" w:hint="default"/>
      </w:rPr>
    </w:lvl>
    <w:lvl w:ilvl="2" w:tplc="294EFAAC">
      <w:start w:val="1"/>
      <w:numFmt w:val="bullet"/>
      <w:lvlText w:val=""/>
      <w:lvlJc w:val="left"/>
      <w:pPr>
        <w:ind w:left="2160" w:hanging="360"/>
      </w:pPr>
      <w:rPr>
        <w:rFonts w:ascii="Wingdings" w:hAnsi="Wingdings" w:hint="default"/>
      </w:rPr>
    </w:lvl>
    <w:lvl w:ilvl="3" w:tplc="558C3EC6">
      <w:start w:val="1"/>
      <w:numFmt w:val="bullet"/>
      <w:lvlText w:val=""/>
      <w:lvlJc w:val="left"/>
      <w:pPr>
        <w:ind w:left="2880" w:hanging="360"/>
      </w:pPr>
      <w:rPr>
        <w:rFonts w:ascii="Symbol" w:hAnsi="Symbol" w:hint="default"/>
      </w:rPr>
    </w:lvl>
    <w:lvl w:ilvl="4" w:tplc="9124B1F4">
      <w:start w:val="1"/>
      <w:numFmt w:val="bullet"/>
      <w:lvlText w:val="o"/>
      <w:lvlJc w:val="left"/>
      <w:pPr>
        <w:ind w:left="3600" w:hanging="360"/>
      </w:pPr>
      <w:rPr>
        <w:rFonts w:ascii="Courier New" w:hAnsi="Courier New" w:hint="default"/>
      </w:rPr>
    </w:lvl>
    <w:lvl w:ilvl="5" w:tplc="93EEA5D0">
      <w:start w:val="1"/>
      <w:numFmt w:val="bullet"/>
      <w:lvlText w:val=""/>
      <w:lvlJc w:val="left"/>
      <w:pPr>
        <w:ind w:left="4320" w:hanging="360"/>
      </w:pPr>
      <w:rPr>
        <w:rFonts w:ascii="Wingdings" w:hAnsi="Wingdings" w:hint="default"/>
      </w:rPr>
    </w:lvl>
    <w:lvl w:ilvl="6" w:tplc="8B2821AE">
      <w:start w:val="1"/>
      <w:numFmt w:val="bullet"/>
      <w:lvlText w:val=""/>
      <w:lvlJc w:val="left"/>
      <w:pPr>
        <w:ind w:left="5040" w:hanging="360"/>
      </w:pPr>
      <w:rPr>
        <w:rFonts w:ascii="Symbol" w:hAnsi="Symbol" w:hint="default"/>
      </w:rPr>
    </w:lvl>
    <w:lvl w:ilvl="7" w:tplc="73969BFA">
      <w:start w:val="1"/>
      <w:numFmt w:val="bullet"/>
      <w:lvlText w:val="o"/>
      <w:lvlJc w:val="left"/>
      <w:pPr>
        <w:ind w:left="5760" w:hanging="360"/>
      </w:pPr>
      <w:rPr>
        <w:rFonts w:ascii="Courier New" w:hAnsi="Courier New" w:hint="default"/>
      </w:rPr>
    </w:lvl>
    <w:lvl w:ilvl="8" w:tplc="71067768">
      <w:start w:val="1"/>
      <w:numFmt w:val="bullet"/>
      <w:lvlText w:val=""/>
      <w:lvlJc w:val="left"/>
      <w:pPr>
        <w:ind w:left="6480" w:hanging="360"/>
      </w:pPr>
      <w:rPr>
        <w:rFonts w:ascii="Wingdings" w:hAnsi="Wingdings" w:hint="default"/>
      </w:rPr>
    </w:lvl>
  </w:abstractNum>
  <w:abstractNum w:abstractNumId="1" w15:restartNumberingAfterBreak="0">
    <w:nsid w:val="751B6B13"/>
    <w:multiLevelType w:val="hybridMultilevel"/>
    <w:tmpl w:val="1250EB10"/>
    <w:lvl w:ilvl="0" w:tplc="54A46A36">
      <w:start w:val="1"/>
      <w:numFmt w:val="bullet"/>
      <w:lvlText w:val=""/>
      <w:lvlJc w:val="left"/>
      <w:pPr>
        <w:ind w:left="720" w:hanging="360"/>
      </w:pPr>
      <w:rPr>
        <w:rFonts w:ascii="Symbol" w:hAnsi="Symbol" w:hint="default"/>
      </w:rPr>
    </w:lvl>
    <w:lvl w:ilvl="1" w:tplc="F92A83F0">
      <w:start w:val="1"/>
      <w:numFmt w:val="bullet"/>
      <w:lvlText w:val="o"/>
      <w:lvlJc w:val="left"/>
      <w:pPr>
        <w:ind w:left="1440" w:hanging="360"/>
      </w:pPr>
      <w:rPr>
        <w:rFonts w:ascii="Courier New" w:hAnsi="Courier New" w:hint="default"/>
      </w:rPr>
    </w:lvl>
    <w:lvl w:ilvl="2" w:tplc="1C58B062">
      <w:start w:val="1"/>
      <w:numFmt w:val="bullet"/>
      <w:lvlText w:val=""/>
      <w:lvlJc w:val="left"/>
      <w:pPr>
        <w:ind w:left="2160" w:hanging="360"/>
      </w:pPr>
      <w:rPr>
        <w:rFonts w:ascii="Wingdings" w:hAnsi="Wingdings" w:hint="default"/>
      </w:rPr>
    </w:lvl>
    <w:lvl w:ilvl="3" w:tplc="217A9BC0">
      <w:start w:val="1"/>
      <w:numFmt w:val="bullet"/>
      <w:lvlText w:val=""/>
      <w:lvlJc w:val="left"/>
      <w:pPr>
        <w:ind w:left="2880" w:hanging="360"/>
      </w:pPr>
      <w:rPr>
        <w:rFonts w:ascii="Symbol" w:hAnsi="Symbol" w:hint="default"/>
      </w:rPr>
    </w:lvl>
    <w:lvl w:ilvl="4" w:tplc="94447134">
      <w:start w:val="1"/>
      <w:numFmt w:val="bullet"/>
      <w:lvlText w:val="o"/>
      <w:lvlJc w:val="left"/>
      <w:pPr>
        <w:ind w:left="3600" w:hanging="360"/>
      </w:pPr>
      <w:rPr>
        <w:rFonts w:ascii="Courier New" w:hAnsi="Courier New" w:hint="default"/>
      </w:rPr>
    </w:lvl>
    <w:lvl w:ilvl="5" w:tplc="6278FD12">
      <w:start w:val="1"/>
      <w:numFmt w:val="bullet"/>
      <w:lvlText w:val=""/>
      <w:lvlJc w:val="left"/>
      <w:pPr>
        <w:ind w:left="4320" w:hanging="360"/>
      </w:pPr>
      <w:rPr>
        <w:rFonts w:ascii="Wingdings" w:hAnsi="Wingdings" w:hint="default"/>
      </w:rPr>
    </w:lvl>
    <w:lvl w:ilvl="6" w:tplc="368036A8">
      <w:start w:val="1"/>
      <w:numFmt w:val="bullet"/>
      <w:lvlText w:val=""/>
      <w:lvlJc w:val="left"/>
      <w:pPr>
        <w:ind w:left="5040" w:hanging="360"/>
      </w:pPr>
      <w:rPr>
        <w:rFonts w:ascii="Symbol" w:hAnsi="Symbol" w:hint="default"/>
      </w:rPr>
    </w:lvl>
    <w:lvl w:ilvl="7" w:tplc="2E98DC3C">
      <w:start w:val="1"/>
      <w:numFmt w:val="bullet"/>
      <w:lvlText w:val="o"/>
      <w:lvlJc w:val="left"/>
      <w:pPr>
        <w:ind w:left="5760" w:hanging="360"/>
      </w:pPr>
      <w:rPr>
        <w:rFonts w:ascii="Courier New" w:hAnsi="Courier New" w:hint="default"/>
      </w:rPr>
    </w:lvl>
    <w:lvl w:ilvl="8" w:tplc="6CAA2CF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3660CB"/>
    <w:rsid w:val="00042190"/>
    <w:rsid w:val="0006128D"/>
    <w:rsid w:val="00082018"/>
    <w:rsid w:val="00087784"/>
    <w:rsid w:val="000A7D00"/>
    <w:rsid w:val="000B3375"/>
    <w:rsid w:val="000D46F1"/>
    <w:rsid w:val="000D537C"/>
    <w:rsid w:val="000D785A"/>
    <w:rsid w:val="000E5D0C"/>
    <w:rsid w:val="000F080C"/>
    <w:rsid w:val="00114C8B"/>
    <w:rsid w:val="00122F79"/>
    <w:rsid w:val="00137864"/>
    <w:rsid w:val="00146AC2"/>
    <w:rsid w:val="00170761"/>
    <w:rsid w:val="001A69EE"/>
    <w:rsid w:val="001C2A98"/>
    <w:rsid w:val="001E7005"/>
    <w:rsid w:val="00203987"/>
    <w:rsid w:val="00222E42"/>
    <w:rsid w:val="002408A6"/>
    <w:rsid w:val="00240D12"/>
    <w:rsid w:val="0026095E"/>
    <w:rsid w:val="00287446"/>
    <w:rsid w:val="002B241D"/>
    <w:rsid w:val="002E3D8E"/>
    <w:rsid w:val="00332E88"/>
    <w:rsid w:val="00336302"/>
    <w:rsid w:val="0034027A"/>
    <w:rsid w:val="0037299D"/>
    <w:rsid w:val="003B2616"/>
    <w:rsid w:val="0046785B"/>
    <w:rsid w:val="00493151"/>
    <w:rsid w:val="004B2738"/>
    <w:rsid w:val="004B5AFA"/>
    <w:rsid w:val="004D2FEC"/>
    <w:rsid w:val="004F05B6"/>
    <w:rsid w:val="00522294"/>
    <w:rsid w:val="00565D08"/>
    <w:rsid w:val="005964D4"/>
    <w:rsid w:val="005B32A1"/>
    <w:rsid w:val="005C36E7"/>
    <w:rsid w:val="005E50C1"/>
    <w:rsid w:val="005E7E7D"/>
    <w:rsid w:val="00634D4A"/>
    <w:rsid w:val="006C1C0F"/>
    <w:rsid w:val="006D0DE8"/>
    <w:rsid w:val="006E34CE"/>
    <w:rsid w:val="0071327A"/>
    <w:rsid w:val="00713D5A"/>
    <w:rsid w:val="00746F12"/>
    <w:rsid w:val="007D3FFC"/>
    <w:rsid w:val="007D4EFF"/>
    <w:rsid w:val="007F31BD"/>
    <w:rsid w:val="007F7A80"/>
    <w:rsid w:val="00863C97"/>
    <w:rsid w:val="008C2159"/>
    <w:rsid w:val="008D388E"/>
    <w:rsid w:val="008F09E6"/>
    <w:rsid w:val="008F6955"/>
    <w:rsid w:val="00903B6D"/>
    <w:rsid w:val="00942416"/>
    <w:rsid w:val="0096413F"/>
    <w:rsid w:val="00974AD3"/>
    <w:rsid w:val="009C4467"/>
    <w:rsid w:val="009D2C9F"/>
    <w:rsid w:val="009E6927"/>
    <w:rsid w:val="00A12C69"/>
    <w:rsid w:val="00A72258"/>
    <w:rsid w:val="00A8163D"/>
    <w:rsid w:val="00A828E9"/>
    <w:rsid w:val="00A9346F"/>
    <w:rsid w:val="00AB18AA"/>
    <w:rsid w:val="00AC49A6"/>
    <w:rsid w:val="00AE1AF7"/>
    <w:rsid w:val="00AF0A11"/>
    <w:rsid w:val="00B514BB"/>
    <w:rsid w:val="00B71711"/>
    <w:rsid w:val="00BA29CC"/>
    <w:rsid w:val="00BA2CD2"/>
    <w:rsid w:val="00BD5A4F"/>
    <w:rsid w:val="00C105B2"/>
    <w:rsid w:val="00C27708"/>
    <w:rsid w:val="00C338E2"/>
    <w:rsid w:val="00C36323"/>
    <w:rsid w:val="00C36948"/>
    <w:rsid w:val="00CC3740"/>
    <w:rsid w:val="00CC4D8A"/>
    <w:rsid w:val="00CD16B4"/>
    <w:rsid w:val="00CD598C"/>
    <w:rsid w:val="00D00BED"/>
    <w:rsid w:val="00D23865"/>
    <w:rsid w:val="00D271A2"/>
    <w:rsid w:val="00D51411"/>
    <w:rsid w:val="00D85366"/>
    <w:rsid w:val="00DA53C2"/>
    <w:rsid w:val="00E076DB"/>
    <w:rsid w:val="00E31FD9"/>
    <w:rsid w:val="00E361F3"/>
    <w:rsid w:val="00E725AE"/>
    <w:rsid w:val="00E82365"/>
    <w:rsid w:val="00EC6335"/>
    <w:rsid w:val="00EE446C"/>
    <w:rsid w:val="00EF6A4C"/>
    <w:rsid w:val="00F03F7F"/>
    <w:rsid w:val="00F404DD"/>
    <w:rsid w:val="00F563F6"/>
    <w:rsid w:val="00F567A8"/>
    <w:rsid w:val="00F744BF"/>
    <w:rsid w:val="00F86800"/>
    <w:rsid w:val="00FE7E44"/>
    <w:rsid w:val="06EC6E19"/>
    <w:rsid w:val="14DA6B2C"/>
    <w:rsid w:val="36E98EF4"/>
    <w:rsid w:val="43D57282"/>
    <w:rsid w:val="746BEF2F"/>
    <w:rsid w:val="7536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660CB"/>
  <w15:chartTrackingRefBased/>
  <w15:docId w15:val="{3A6AA251-4387-41C8-B33A-9897D589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3375"/>
    <w:pPr>
      <w:keepNext/>
      <w:keepLines/>
      <w:spacing w:before="240" w:after="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365"/>
  </w:style>
  <w:style w:type="paragraph" w:styleId="Footer">
    <w:name w:val="footer"/>
    <w:basedOn w:val="Normal"/>
    <w:link w:val="FooterChar"/>
    <w:uiPriority w:val="99"/>
    <w:unhideWhenUsed/>
    <w:rsid w:val="00E82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365"/>
  </w:style>
  <w:style w:type="paragraph" w:styleId="NormalWeb">
    <w:name w:val="Normal (Web)"/>
    <w:basedOn w:val="Normal"/>
    <w:uiPriority w:val="99"/>
    <w:semiHidden/>
    <w:unhideWhenUsed/>
    <w:rsid w:val="00E8236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13D5A"/>
    <w:pPr>
      <w:spacing w:after="0" w:line="240" w:lineRule="auto"/>
    </w:pPr>
  </w:style>
  <w:style w:type="table" w:styleId="TableGrid">
    <w:name w:val="Table Grid"/>
    <w:basedOn w:val="TableNormal"/>
    <w:uiPriority w:val="39"/>
    <w:rsid w:val="00E72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565D08"/>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0B3375"/>
    <w:rPr>
      <w:rFonts w:eastAsiaTheme="majorEastAsi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94610">
      <w:bodyDiv w:val="1"/>
      <w:marLeft w:val="0"/>
      <w:marRight w:val="0"/>
      <w:marTop w:val="0"/>
      <w:marBottom w:val="0"/>
      <w:divBdr>
        <w:top w:val="none" w:sz="0" w:space="0" w:color="auto"/>
        <w:left w:val="none" w:sz="0" w:space="0" w:color="auto"/>
        <w:bottom w:val="none" w:sz="0" w:space="0" w:color="auto"/>
        <w:right w:val="none" w:sz="0" w:space="0" w:color="auto"/>
      </w:divBdr>
    </w:div>
    <w:div w:id="10316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F913C94-99B1-415E-BC6F-5D8703AA4471}">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C8302-86D8-44E1-A281-183FB978F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Setterman, Caitlin Ann</dc:creator>
  <cp:keywords/>
  <dc:description/>
  <cp:lastModifiedBy>Caitlin Setterman</cp:lastModifiedBy>
  <cp:revision>2</cp:revision>
  <dcterms:created xsi:type="dcterms:W3CDTF">2018-04-12T04:37:00Z</dcterms:created>
  <dcterms:modified xsi:type="dcterms:W3CDTF">2018-04-12T04:37:00Z</dcterms:modified>
</cp:coreProperties>
</file>