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AFA0A" w14:textId="01D00558" w:rsidR="008C3F1B" w:rsidRDefault="00A2796D">
      <w:pPr>
        <w:spacing w:after="4" w:line="259" w:lineRule="auto"/>
        <w:ind w:left="573" w:right="598"/>
        <w:jc w:val="center"/>
      </w:pPr>
      <w:r>
        <w:rPr>
          <w:b/>
        </w:rPr>
        <w:t>Andeavor</w:t>
      </w:r>
      <w:r w:rsidR="0059202B">
        <w:rPr>
          <w:b/>
        </w:rPr>
        <w:t xml:space="preserve"> (</w:t>
      </w:r>
      <w:r>
        <w:rPr>
          <w:b/>
        </w:rPr>
        <w:t>ANDV</w:t>
      </w:r>
      <w:r w:rsidR="0059202B">
        <w:rPr>
          <w:b/>
        </w:rPr>
        <w:t xml:space="preserve">) </w:t>
      </w:r>
      <w:r w:rsidR="0059202B">
        <w:rPr>
          <w:rFonts w:ascii="Arial" w:eastAsia="Arial" w:hAnsi="Arial" w:cs="Arial"/>
          <w:b/>
        </w:rPr>
        <w:t xml:space="preserve"> </w:t>
      </w:r>
    </w:p>
    <w:p w14:paraId="0EA70BC8" w14:textId="77777777" w:rsidR="008C3F1B" w:rsidRDefault="00A2796D">
      <w:pPr>
        <w:spacing w:after="12" w:line="259" w:lineRule="auto"/>
        <w:ind w:left="13" w:firstLine="0"/>
        <w:jc w:val="center"/>
      </w:pPr>
      <w:r>
        <w:t>April 11, 2018</w:t>
      </w:r>
      <w:r w:rsidR="0059202B">
        <w:rPr>
          <w:rFonts w:ascii="Arial" w:eastAsia="Arial" w:hAnsi="Arial" w:cs="Arial"/>
        </w:rPr>
        <w:t xml:space="preserve"> </w:t>
      </w:r>
    </w:p>
    <w:p w14:paraId="397BA956" w14:textId="77777777" w:rsidR="008C3F1B" w:rsidRDefault="00A2796D" w:rsidP="006A75EF">
      <w:pPr>
        <w:tabs>
          <w:tab w:val="center" w:pos="2881"/>
          <w:tab w:val="center" w:pos="3601"/>
          <w:tab w:val="center" w:pos="4321"/>
          <w:tab w:val="center" w:pos="5041"/>
          <w:tab w:val="center" w:pos="5761"/>
          <w:tab w:val="center" w:pos="7557"/>
        </w:tabs>
        <w:ind w:left="-15" w:firstLine="0"/>
      </w:pPr>
      <w:r>
        <w:t>Anthony Dupont and Andrew Fink</w:t>
      </w:r>
      <w:r w:rsidR="0059202B">
        <w:t xml:space="preserve"> </w:t>
      </w:r>
      <w:r w:rsidR="0059202B">
        <w:tab/>
      </w:r>
      <w:r>
        <w:t xml:space="preserve"> </w:t>
      </w:r>
      <w:r>
        <w:tab/>
        <w:t xml:space="preserve"> </w:t>
      </w:r>
      <w:r>
        <w:tab/>
        <w:t xml:space="preserve"> </w:t>
      </w:r>
      <w:r>
        <w:tab/>
      </w:r>
      <w:r w:rsidR="006A75EF">
        <w:tab/>
        <w:t xml:space="preserve">                                                      Energy</w:t>
      </w:r>
      <w:r w:rsidR="0059202B">
        <w:t xml:space="preserve"> </w:t>
      </w:r>
      <w:r w:rsidR="0059202B">
        <w:rPr>
          <w:rFonts w:ascii="Arial" w:eastAsia="Arial" w:hAnsi="Arial" w:cs="Arial"/>
        </w:rPr>
        <w:t xml:space="preserve"> </w:t>
      </w:r>
    </w:p>
    <w:p w14:paraId="581C0C20" w14:textId="77777777" w:rsidR="008C3F1B" w:rsidRDefault="0059202B">
      <w:pPr>
        <w:spacing w:after="17" w:line="259" w:lineRule="auto"/>
        <w:ind w:left="0" w:firstLine="0"/>
      </w:pPr>
      <w:r>
        <w:t xml:space="preserve"> </w:t>
      </w:r>
      <w:r>
        <w:rPr>
          <w:rFonts w:ascii="Arial" w:eastAsia="Arial" w:hAnsi="Arial" w:cs="Arial"/>
        </w:rPr>
        <w:t xml:space="preserve"> </w:t>
      </w:r>
    </w:p>
    <w:p w14:paraId="470A1731" w14:textId="77777777" w:rsidR="008C3F1B" w:rsidRDefault="0059202B">
      <w:pPr>
        <w:pStyle w:val="Heading1"/>
        <w:ind w:left="-5" w:right="0"/>
      </w:pPr>
      <w:r>
        <w:t>Introduction</w:t>
      </w:r>
      <w:r>
        <w:rPr>
          <w:b w:val="0"/>
        </w:rPr>
        <w:t xml:space="preserve"> </w:t>
      </w:r>
      <w:r>
        <w:rPr>
          <w:rFonts w:ascii="Arial" w:eastAsia="Arial" w:hAnsi="Arial" w:cs="Arial"/>
          <w:b w:val="0"/>
        </w:rPr>
        <w:t xml:space="preserve"> </w:t>
      </w:r>
    </w:p>
    <w:p w14:paraId="69289E65" w14:textId="2FD76298" w:rsidR="008C3F1B" w:rsidRDefault="004C74A4">
      <w:pPr>
        <w:ind w:left="-5"/>
      </w:pPr>
      <w:r>
        <w:t>Andeavor Inc.</w:t>
      </w:r>
      <w:r w:rsidR="0059202B">
        <w:t xml:space="preserve"> (NYSE: </w:t>
      </w:r>
      <w:r w:rsidR="00A23CBF">
        <w:t>ANDV</w:t>
      </w:r>
      <w:r w:rsidR="0059202B">
        <w:t xml:space="preserve"> | price: $1</w:t>
      </w:r>
      <w:r w:rsidR="00962886">
        <w:t>10</w:t>
      </w:r>
      <w:r w:rsidR="0059202B">
        <w:t>.2</w:t>
      </w:r>
      <w:r w:rsidR="00962886">
        <w:t>9</w:t>
      </w:r>
      <w:r w:rsidR="0059202B">
        <w:t xml:space="preserve">) is </w:t>
      </w:r>
      <w:r w:rsidR="00B633EC">
        <w:t xml:space="preserve">an American </w:t>
      </w:r>
      <w:r w:rsidR="00A24833">
        <w:t xml:space="preserve">oil refinery company </w:t>
      </w:r>
      <w:r w:rsidR="00E67227">
        <w:t>headquartered</w:t>
      </w:r>
      <w:r w:rsidR="00012EEA">
        <w:t xml:space="preserve"> </w:t>
      </w:r>
      <w:r w:rsidR="00CA605D">
        <w:t xml:space="preserve">in </w:t>
      </w:r>
      <w:r w:rsidR="000A7A84">
        <w:t xml:space="preserve">San Antonio, Texas </w:t>
      </w:r>
      <w:r w:rsidR="00353D8A">
        <w:t xml:space="preserve">producing </w:t>
      </w:r>
      <w:r w:rsidR="00706D0C">
        <w:t>an average of 1.2 million barrels per day.</w:t>
      </w:r>
      <w:r w:rsidR="00CE34A6">
        <w:t xml:space="preserve"> </w:t>
      </w:r>
      <w:r w:rsidR="00D731A5">
        <w:t>Andeavor generates revenue in three ways: Marketing,</w:t>
      </w:r>
      <w:r w:rsidR="006C2390">
        <w:t xml:space="preserve"> Logistics, and</w:t>
      </w:r>
      <w:r w:rsidR="00D731A5">
        <w:t xml:space="preserve"> </w:t>
      </w:r>
      <w:r w:rsidR="000F5C11">
        <w:t>Refining</w:t>
      </w:r>
      <w:r w:rsidR="006C2390">
        <w:t>.</w:t>
      </w:r>
      <w:r w:rsidR="00472DE4">
        <w:t xml:space="preserve"> In general, </w:t>
      </w:r>
      <w:r w:rsidR="00A42B55">
        <w:t>Andeavor makes money by buying crude oil</w:t>
      </w:r>
      <w:r w:rsidR="009A0F67">
        <w:t xml:space="preserve">, refining it, and selling it </w:t>
      </w:r>
      <w:r w:rsidR="005C324A">
        <w:t xml:space="preserve">to its marketing partners </w:t>
      </w:r>
      <w:r w:rsidR="00ED7A9A">
        <w:t>Arco, Shell, Mobil, and Superamerica.</w:t>
      </w:r>
      <w:r w:rsidR="009965DE">
        <w:t xml:space="preserve"> Andeavor also has the infrastructure to transport natural gas and oil via </w:t>
      </w:r>
      <w:r w:rsidR="003F096F">
        <w:t>trucks, ships, and pipelines.</w:t>
      </w:r>
    </w:p>
    <w:p w14:paraId="56518299" w14:textId="77777777" w:rsidR="008C3F1B" w:rsidRDefault="0059202B">
      <w:pPr>
        <w:spacing w:after="0" w:line="259" w:lineRule="auto"/>
        <w:ind w:left="0" w:firstLine="0"/>
      </w:pPr>
      <w:r>
        <w:t xml:space="preserve"> </w:t>
      </w:r>
    </w:p>
    <w:tbl>
      <w:tblPr>
        <w:tblStyle w:val="TableGrid"/>
        <w:tblW w:w="10544" w:type="dxa"/>
        <w:tblInd w:w="-14" w:type="dxa"/>
        <w:tblCellMar>
          <w:top w:w="28" w:type="dxa"/>
          <w:right w:w="67" w:type="dxa"/>
        </w:tblCellMar>
        <w:tblLook w:val="04A0" w:firstRow="1" w:lastRow="0" w:firstColumn="1" w:lastColumn="0" w:noHBand="0" w:noVBand="1"/>
      </w:tblPr>
      <w:tblGrid>
        <w:gridCol w:w="1927"/>
        <w:gridCol w:w="1067"/>
        <w:gridCol w:w="2499"/>
        <w:gridCol w:w="526"/>
        <w:gridCol w:w="1460"/>
        <w:gridCol w:w="907"/>
        <w:gridCol w:w="713"/>
        <w:gridCol w:w="800"/>
        <w:gridCol w:w="645"/>
      </w:tblGrid>
      <w:tr w:rsidR="001E7773" w14:paraId="47249B3F" w14:textId="77777777" w:rsidTr="007F3285">
        <w:trPr>
          <w:trHeight w:val="271"/>
        </w:trPr>
        <w:tc>
          <w:tcPr>
            <w:tcW w:w="1927" w:type="dxa"/>
            <w:tcBorders>
              <w:top w:val="single" w:sz="4" w:space="0" w:color="000000"/>
              <w:left w:val="single" w:sz="4" w:space="0" w:color="000000"/>
              <w:bottom w:val="nil"/>
              <w:right w:val="nil"/>
            </w:tcBorders>
          </w:tcPr>
          <w:p w14:paraId="100C15BB" w14:textId="77777777" w:rsidR="008C3F1B" w:rsidRDefault="0059202B">
            <w:pPr>
              <w:spacing w:after="0" w:line="259" w:lineRule="auto"/>
              <w:ind w:left="108" w:firstLine="0"/>
            </w:pPr>
            <w:r>
              <w:rPr>
                <w:sz w:val="18"/>
              </w:rPr>
              <w:t xml:space="preserve">Price ($): </w:t>
            </w:r>
          </w:p>
        </w:tc>
        <w:tc>
          <w:tcPr>
            <w:tcW w:w="1067" w:type="dxa"/>
            <w:tcBorders>
              <w:top w:val="single" w:sz="4" w:space="0" w:color="000000"/>
              <w:left w:val="nil"/>
              <w:bottom w:val="nil"/>
              <w:right w:val="single" w:sz="4" w:space="0" w:color="000000"/>
            </w:tcBorders>
          </w:tcPr>
          <w:p w14:paraId="3AAA5ADC" w14:textId="2AA2B8EC" w:rsidR="008C3F1B" w:rsidRDefault="0059202B">
            <w:pPr>
              <w:spacing w:after="0" w:line="259" w:lineRule="auto"/>
              <w:ind w:left="0" w:right="41" w:firstLine="0"/>
              <w:jc w:val="right"/>
            </w:pPr>
            <w:r>
              <w:rPr>
                <w:sz w:val="18"/>
              </w:rPr>
              <w:t xml:space="preserve"> 1</w:t>
            </w:r>
            <w:r w:rsidR="00994143">
              <w:rPr>
                <w:sz w:val="18"/>
              </w:rPr>
              <w:t>10</w:t>
            </w:r>
            <w:r>
              <w:rPr>
                <w:sz w:val="18"/>
              </w:rPr>
              <w:t>.2</w:t>
            </w:r>
            <w:r w:rsidR="00994143">
              <w:rPr>
                <w:sz w:val="18"/>
              </w:rPr>
              <w:t>9</w:t>
            </w:r>
            <w:r>
              <w:rPr>
                <w:sz w:val="18"/>
              </w:rPr>
              <w:t xml:space="preserve"> </w:t>
            </w:r>
          </w:p>
        </w:tc>
        <w:tc>
          <w:tcPr>
            <w:tcW w:w="2499" w:type="dxa"/>
            <w:tcBorders>
              <w:top w:val="single" w:sz="4" w:space="0" w:color="000000"/>
              <w:left w:val="single" w:sz="4" w:space="0" w:color="000000"/>
              <w:bottom w:val="nil"/>
              <w:right w:val="nil"/>
            </w:tcBorders>
          </w:tcPr>
          <w:p w14:paraId="346C7F0B" w14:textId="77777777" w:rsidR="008C3F1B" w:rsidRDefault="0059202B">
            <w:pPr>
              <w:spacing w:after="0" w:line="259" w:lineRule="auto"/>
              <w:ind w:left="108" w:firstLine="0"/>
            </w:pPr>
            <w:r>
              <w:rPr>
                <w:sz w:val="18"/>
              </w:rPr>
              <w:t xml:space="preserve">Beta: </w:t>
            </w:r>
          </w:p>
        </w:tc>
        <w:tc>
          <w:tcPr>
            <w:tcW w:w="526" w:type="dxa"/>
            <w:tcBorders>
              <w:top w:val="single" w:sz="4" w:space="0" w:color="000000"/>
              <w:left w:val="nil"/>
              <w:bottom w:val="nil"/>
              <w:right w:val="single" w:sz="4" w:space="0" w:color="000000"/>
            </w:tcBorders>
          </w:tcPr>
          <w:p w14:paraId="415289A9" w14:textId="016AE039" w:rsidR="008C3F1B" w:rsidRDefault="0059202B">
            <w:pPr>
              <w:spacing w:after="0" w:line="259" w:lineRule="auto"/>
              <w:ind w:left="91" w:firstLine="0"/>
            </w:pPr>
            <w:r>
              <w:rPr>
                <w:sz w:val="18"/>
              </w:rPr>
              <w:t>1.</w:t>
            </w:r>
            <w:r w:rsidR="001C4796">
              <w:rPr>
                <w:sz w:val="18"/>
              </w:rPr>
              <w:t>02</w:t>
            </w:r>
            <w:r>
              <w:rPr>
                <w:sz w:val="18"/>
              </w:rPr>
              <w:t xml:space="preserve"> </w:t>
            </w:r>
          </w:p>
        </w:tc>
        <w:tc>
          <w:tcPr>
            <w:tcW w:w="1460" w:type="dxa"/>
            <w:tcBorders>
              <w:top w:val="single" w:sz="4" w:space="0" w:color="000000"/>
              <w:left w:val="single" w:sz="4" w:space="0" w:color="000000"/>
              <w:bottom w:val="nil"/>
              <w:right w:val="nil"/>
            </w:tcBorders>
          </w:tcPr>
          <w:p w14:paraId="1677E8DF" w14:textId="77777777" w:rsidR="008C3F1B" w:rsidRDefault="0059202B">
            <w:pPr>
              <w:spacing w:after="0" w:line="259" w:lineRule="auto"/>
              <w:ind w:left="108" w:firstLine="0"/>
            </w:pPr>
            <w:r>
              <w:rPr>
                <w:sz w:val="18"/>
              </w:rPr>
              <w:t xml:space="preserve">  </w:t>
            </w:r>
          </w:p>
        </w:tc>
        <w:tc>
          <w:tcPr>
            <w:tcW w:w="907" w:type="dxa"/>
            <w:tcBorders>
              <w:top w:val="single" w:sz="4" w:space="0" w:color="000000"/>
              <w:left w:val="nil"/>
              <w:bottom w:val="nil"/>
              <w:right w:val="nil"/>
            </w:tcBorders>
          </w:tcPr>
          <w:p w14:paraId="112D69A3" w14:textId="77777777" w:rsidR="008C3F1B" w:rsidRDefault="0059202B">
            <w:pPr>
              <w:spacing w:after="0" w:line="259" w:lineRule="auto"/>
              <w:ind w:left="94" w:firstLine="0"/>
            </w:pPr>
            <w:r>
              <w:rPr>
                <w:sz w:val="18"/>
                <w:u w:val="single" w:color="000000"/>
              </w:rPr>
              <w:t>2016A</w:t>
            </w:r>
            <w:r>
              <w:rPr>
                <w:sz w:val="18"/>
              </w:rPr>
              <w:t xml:space="preserve"> </w:t>
            </w:r>
          </w:p>
        </w:tc>
        <w:tc>
          <w:tcPr>
            <w:tcW w:w="713" w:type="dxa"/>
            <w:tcBorders>
              <w:top w:val="single" w:sz="4" w:space="0" w:color="000000"/>
              <w:left w:val="nil"/>
              <w:bottom w:val="nil"/>
              <w:right w:val="nil"/>
            </w:tcBorders>
          </w:tcPr>
          <w:p w14:paraId="163A55A7" w14:textId="77777777" w:rsidR="008C3F1B" w:rsidRDefault="0059202B">
            <w:pPr>
              <w:spacing w:after="0" w:line="259" w:lineRule="auto"/>
              <w:ind w:left="17" w:firstLine="0"/>
            </w:pPr>
            <w:r>
              <w:rPr>
                <w:sz w:val="18"/>
                <w:u w:val="single" w:color="000000"/>
              </w:rPr>
              <w:t>2017A</w:t>
            </w:r>
            <w:r>
              <w:rPr>
                <w:sz w:val="18"/>
              </w:rPr>
              <w:t xml:space="preserve"> </w:t>
            </w:r>
          </w:p>
        </w:tc>
        <w:tc>
          <w:tcPr>
            <w:tcW w:w="800" w:type="dxa"/>
            <w:tcBorders>
              <w:top w:val="single" w:sz="4" w:space="0" w:color="000000"/>
              <w:left w:val="nil"/>
              <w:bottom w:val="nil"/>
              <w:right w:val="nil"/>
            </w:tcBorders>
          </w:tcPr>
          <w:p w14:paraId="56F4AD6D" w14:textId="5BA77A33" w:rsidR="008C3F1B" w:rsidRDefault="008C3F1B" w:rsidP="005E5567">
            <w:pPr>
              <w:spacing w:after="0" w:line="259" w:lineRule="auto"/>
            </w:pPr>
          </w:p>
        </w:tc>
        <w:tc>
          <w:tcPr>
            <w:tcW w:w="645" w:type="dxa"/>
            <w:tcBorders>
              <w:top w:val="single" w:sz="4" w:space="0" w:color="000000"/>
              <w:left w:val="nil"/>
              <w:bottom w:val="nil"/>
              <w:right w:val="single" w:sz="4" w:space="0" w:color="000000"/>
            </w:tcBorders>
          </w:tcPr>
          <w:p w14:paraId="03AE0C90" w14:textId="08590F2A" w:rsidR="008C3F1B" w:rsidRDefault="008C3F1B">
            <w:pPr>
              <w:spacing w:after="0" w:line="259" w:lineRule="auto"/>
              <w:ind w:left="43" w:firstLine="0"/>
            </w:pPr>
          </w:p>
        </w:tc>
      </w:tr>
      <w:tr w:rsidR="001E7773" w14:paraId="41A6906C" w14:textId="77777777" w:rsidTr="007F3285">
        <w:trPr>
          <w:trHeight w:val="238"/>
        </w:trPr>
        <w:tc>
          <w:tcPr>
            <w:tcW w:w="1927" w:type="dxa"/>
            <w:tcBorders>
              <w:top w:val="nil"/>
              <w:left w:val="single" w:sz="4" w:space="0" w:color="000000"/>
              <w:bottom w:val="nil"/>
              <w:right w:val="nil"/>
            </w:tcBorders>
          </w:tcPr>
          <w:p w14:paraId="62649CCC" w14:textId="77777777" w:rsidR="008C3F1B" w:rsidRDefault="0059202B">
            <w:pPr>
              <w:spacing w:after="0" w:line="259" w:lineRule="auto"/>
              <w:ind w:left="108" w:firstLine="0"/>
            </w:pPr>
            <w:r>
              <w:rPr>
                <w:sz w:val="18"/>
              </w:rPr>
              <w:t xml:space="preserve">Price Target ($): </w:t>
            </w:r>
          </w:p>
        </w:tc>
        <w:tc>
          <w:tcPr>
            <w:tcW w:w="1067" w:type="dxa"/>
            <w:tcBorders>
              <w:top w:val="nil"/>
              <w:left w:val="nil"/>
              <w:bottom w:val="nil"/>
              <w:right w:val="single" w:sz="4" w:space="0" w:color="000000"/>
            </w:tcBorders>
          </w:tcPr>
          <w:p w14:paraId="48E020F1" w14:textId="77777777" w:rsidR="008C3F1B" w:rsidRDefault="0059202B">
            <w:pPr>
              <w:spacing w:after="0" w:line="259" w:lineRule="auto"/>
              <w:ind w:left="0" w:right="41" w:firstLine="0"/>
              <w:jc w:val="right"/>
            </w:pPr>
            <w:r>
              <w:rPr>
                <w:sz w:val="18"/>
              </w:rPr>
              <w:t xml:space="preserve">132.37 </w:t>
            </w:r>
          </w:p>
        </w:tc>
        <w:tc>
          <w:tcPr>
            <w:tcW w:w="2499" w:type="dxa"/>
            <w:tcBorders>
              <w:top w:val="nil"/>
              <w:left w:val="single" w:sz="4" w:space="0" w:color="000000"/>
              <w:bottom w:val="nil"/>
              <w:right w:val="nil"/>
            </w:tcBorders>
          </w:tcPr>
          <w:p w14:paraId="595C876E" w14:textId="77777777" w:rsidR="008C3F1B" w:rsidRDefault="0059202B">
            <w:pPr>
              <w:spacing w:after="0" w:line="259" w:lineRule="auto"/>
              <w:ind w:left="108" w:firstLine="0"/>
            </w:pPr>
            <w:r>
              <w:rPr>
                <w:sz w:val="18"/>
              </w:rPr>
              <w:t xml:space="preserve">WACC: </w:t>
            </w:r>
          </w:p>
        </w:tc>
        <w:tc>
          <w:tcPr>
            <w:tcW w:w="526" w:type="dxa"/>
            <w:tcBorders>
              <w:top w:val="nil"/>
              <w:left w:val="nil"/>
              <w:bottom w:val="nil"/>
              <w:right w:val="single" w:sz="4" w:space="0" w:color="000000"/>
            </w:tcBorders>
          </w:tcPr>
          <w:p w14:paraId="4DC4648C" w14:textId="205B1EA7" w:rsidR="008C3F1B" w:rsidRDefault="00E9473F">
            <w:pPr>
              <w:spacing w:after="0" w:line="259" w:lineRule="auto"/>
              <w:ind w:left="139" w:firstLine="0"/>
              <w:jc w:val="center"/>
            </w:pPr>
            <w:r>
              <w:rPr>
                <w:sz w:val="18"/>
              </w:rPr>
              <w:t>5.93</w:t>
            </w:r>
            <w:r w:rsidR="0059202B">
              <w:rPr>
                <w:sz w:val="18"/>
              </w:rPr>
              <w:t xml:space="preserve"> </w:t>
            </w:r>
          </w:p>
        </w:tc>
        <w:tc>
          <w:tcPr>
            <w:tcW w:w="1460" w:type="dxa"/>
            <w:tcBorders>
              <w:top w:val="nil"/>
              <w:left w:val="single" w:sz="4" w:space="0" w:color="000000"/>
              <w:bottom w:val="nil"/>
              <w:right w:val="nil"/>
            </w:tcBorders>
          </w:tcPr>
          <w:p w14:paraId="025223AF" w14:textId="77777777" w:rsidR="008C3F1B" w:rsidRDefault="0059202B">
            <w:pPr>
              <w:spacing w:after="0" w:line="259" w:lineRule="auto"/>
              <w:ind w:left="108" w:firstLine="0"/>
            </w:pPr>
            <w:r>
              <w:rPr>
                <w:sz w:val="18"/>
              </w:rPr>
              <w:t xml:space="preserve">Revenue (mil) </w:t>
            </w:r>
          </w:p>
        </w:tc>
        <w:tc>
          <w:tcPr>
            <w:tcW w:w="907" w:type="dxa"/>
            <w:tcBorders>
              <w:top w:val="nil"/>
              <w:left w:val="nil"/>
              <w:bottom w:val="nil"/>
              <w:right w:val="nil"/>
            </w:tcBorders>
          </w:tcPr>
          <w:p w14:paraId="242F955E" w14:textId="1860B9F1" w:rsidR="008C3F1B" w:rsidRDefault="00D3678C">
            <w:pPr>
              <w:spacing w:after="0" w:line="259" w:lineRule="auto"/>
              <w:ind w:left="77" w:firstLine="0"/>
            </w:pPr>
            <w:r>
              <w:rPr>
                <w:sz w:val="18"/>
              </w:rPr>
              <w:t>24,582</w:t>
            </w:r>
          </w:p>
        </w:tc>
        <w:tc>
          <w:tcPr>
            <w:tcW w:w="713" w:type="dxa"/>
            <w:tcBorders>
              <w:top w:val="nil"/>
              <w:left w:val="nil"/>
              <w:bottom w:val="nil"/>
              <w:right w:val="nil"/>
            </w:tcBorders>
          </w:tcPr>
          <w:p w14:paraId="5081F1BE" w14:textId="6D5E89FB" w:rsidR="008C3F1B" w:rsidRDefault="00D3678C">
            <w:pPr>
              <w:spacing w:after="0" w:line="259" w:lineRule="auto"/>
              <w:ind w:left="0" w:firstLine="0"/>
            </w:pPr>
            <w:r>
              <w:rPr>
                <w:sz w:val="18"/>
              </w:rPr>
              <w:t>34,</w:t>
            </w:r>
            <w:r w:rsidR="00643648">
              <w:rPr>
                <w:sz w:val="18"/>
              </w:rPr>
              <w:t>975</w:t>
            </w:r>
          </w:p>
        </w:tc>
        <w:tc>
          <w:tcPr>
            <w:tcW w:w="800" w:type="dxa"/>
            <w:tcBorders>
              <w:top w:val="nil"/>
              <w:left w:val="nil"/>
              <w:bottom w:val="nil"/>
              <w:right w:val="nil"/>
            </w:tcBorders>
          </w:tcPr>
          <w:p w14:paraId="2423F884" w14:textId="1F9D6321" w:rsidR="008C3F1B" w:rsidRDefault="008C3F1B">
            <w:pPr>
              <w:spacing w:after="0" w:line="259" w:lineRule="auto"/>
              <w:ind w:left="0" w:firstLine="0"/>
            </w:pPr>
          </w:p>
        </w:tc>
        <w:tc>
          <w:tcPr>
            <w:tcW w:w="645" w:type="dxa"/>
            <w:tcBorders>
              <w:top w:val="nil"/>
              <w:left w:val="nil"/>
              <w:bottom w:val="nil"/>
              <w:right w:val="single" w:sz="4" w:space="0" w:color="000000"/>
            </w:tcBorders>
          </w:tcPr>
          <w:p w14:paraId="1301A869" w14:textId="4307DC5B" w:rsidR="008C3F1B" w:rsidRDefault="008C3F1B">
            <w:pPr>
              <w:spacing w:after="0" w:line="259" w:lineRule="auto"/>
              <w:ind w:left="19" w:firstLine="0"/>
            </w:pPr>
          </w:p>
        </w:tc>
      </w:tr>
      <w:tr w:rsidR="001E7773" w14:paraId="43AFBA44" w14:textId="77777777" w:rsidTr="007F3285">
        <w:trPr>
          <w:trHeight w:val="238"/>
        </w:trPr>
        <w:tc>
          <w:tcPr>
            <w:tcW w:w="1927" w:type="dxa"/>
            <w:tcBorders>
              <w:top w:val="nil"/>
              <w:left w:val="single" w:sz="4" w:space="0" w:color="000000"/>
              <w:bottom w:val="nil"/>
              <w:right w:val="nil"/>
            </w:tcBorders>
          </w:tcPr>
          <w:p w14:paraId="2DFF55A1" w14:textId="77777777" w:rsidR="008C3F1B" w:rsidRDefault="0059202B">
            <w:pPr>
              <w:spacing w:after="0" w:line="259" w:lineRule="auto"/>
              <w:ind w:left="108" w:firstLine="0"/>
            </w:pPr>
            <w:r>
              <w:rPr>
                <w:sz w:val="18"/>
              </w:rPr>
              <w:t xml:space="preserve">52 WK H-L ($): </w:t>
            </w:r>
          </w:p>
        </w:tc>
        <w:tc>
          <w:tcPr>
            <w:tcW w:w="1067" w:type="dxa"/>
            <w:tcBorders>
              <w:top w:val="nil"/>
              <w:left w:val="nil"/>
              <w:bottom w:val="nil"/>
              <w:right w:val="single" w:sz="4" w:space="0" w:color="000000"/>
            </w:tcBorders>
          </w:tcPr>
          <w:p w14:paraId="3784C586" w14:textId="4B0A82B5" w:rsidR="008C3F1B" w:rsidRPr="007B3982" w:rsidRDefault="00F66540" w:rsidP="00445EE0">
            <w:pPr>
              <w:spacing w:after="0" w:line="259" w:lineRule="auto"/>
              <w:ind w:left="0" w:hanging="30"/>
            </w:pPr>
            <w:r>
              <w:rPr>
                <w:sz w:val="18"/>
              </w:rPr>
              <w:t>121.17-75.</w:t>
            </w:r>
            <w:r w:rsidR="003551EA">
              <w:rPr>
                <w:sz w:val="18"/>
              </w:rPr>
              <w:t>11</w:t>
            </w:r>
            <w:r w:rsidR="0059202B" w:rsidRPr="007B3982">
              <w:rPr>
                <w:sz w:val="18"/>
              </w:rPr>
              <w:t xml:space="preserve"> </w:t>
            </w:r>
          </w:p>
        </w:tc>
        <w:tc>
          <w:tcPr>
            <w:tcW w:w="2499" w:type="dxa"/>
            <w:tcBorders>
              <w:top w:val="nil"/>
              <w:left w:val="single" w:sz="4" w:space="0" w:color="000000"/>
              <w:bottom w:val="nil"/>
              <w:right w:val="nil"/>
            </w:tcBorders>
          </w:tcPr>
          <w:p w14:paraId="7B9A7CD1" w14:textId="77777777" w:rsidR="008C3F1B" w:rsidRDefault="0059202B">
            <w:pPr>
              <w:spacing w:after="0" w:line="259" w:lineRule="auto"/>
              <w:ind w:left="108" w:firstLine="0"/>
            </w:pPr>
            <w:r>
              <w:rPr>
                <w:sz w:val="18"/>
              </w:rPr>
              <w:t xml:space="preserve">M-Term Rev. Gr Rate Est: </w:t>
            </w:r>
          </w:p>
        </w:tc>
        <w:tc>
          <w:tcPr>
            <w:tcW w:w="526" w:type="dxa"/>
            <w:tcBorders>
              <w:top w:val="nil"/>
              <w:left w:val="nil"/>
              <w:bottom w:val="nil"/>
              <w:right w:val="single" w:sz="4" w:space="0" w:color="000000"/>
            </w:tcBorders>
          </w:tcPr>
          <w:p w14:paraId="70B367A4" w14:textId="0E8F4CAF" w:rsidR="008C3F1B" w:rsidRDefault="005172B1">
            <w:pPr>
              <w:spacing w:after="0" w:line="259" w:lineRule="auto"/>
              <w:ind w:left="91" w:firstLine="0"/>
            </w:pPr>
            <w:r>
              <w:rPr>
                <w:sz w:val="18"/>
              </w:rPr>
              <w:t xml:space="preserve">      </w:t>
            </w:r>
            <w:r w:rsidR="00E341A0">
              <w:rPr>
                <w:sz w:val="18"/>
              </w:rPr>
              <w:t>5</w:t>
            </w:r>
            <w:r w:rsidR="0059202B">
              <w:rPr>
                <w:sz w:val="18"/>
              </w:rPr>
              <w:t xml:space="preserve"> </w:t>
            </w:r>
          </w:p>
        </w:tc>
        <w:tc>
          <w:tcPr>
            <w:tcW w:w="1460" w:type="dxa"/>
            <w:tcBorders>
              <w:top w:val="nil"/>
              <w:left w:val="single" w:sz="4" w:space="0" w:color="000000"/>
              <w:bottom w:val="nil"/>
              <w:right w:val="nil"/>
            </w:tcBorders>
          </w:tcPr>
          <w:p w14:paraId="2D9BF963" w14:textId="77777777" w:rsidR="008C3F1B" w:rsidRDefault="0059202B">
            <w:pPr>
              <w:spacing w:after="0" w:line="259" w:lineRule="auto"/>
              <w:ind w:left="108" w:firstLine="0"/>
            </w:pPr>
            <w:r>
              <w:rPr>
                <w:sz w:val="18"/>
              </w:rPr>
              <w:t xml:space="preserve">% Growth </w:t>
            </w:r>
          </w:p>
        </w:tc>
        <w:tc>
          <w:tcPr>
            <w:tcW w:w="907" w:type="dxa"/>
            <w:tcBorders>
              <w:top w:val="nil"/>
              <w:left w:val="nil"/>
              <w:bottom w:val="nil"/>
              <w:right w:val="nil"/>
            </w:tcBorders>
          </w:tcPr>
          <w:p w14:paraId="53BB19B7" w14:textId="4D3C9323" w:rsidR="008C3F1B" w:rsidRDefault="0059202B">
            <w:pPr>
              <w:spacing w:after="0" w:line="259" w:lineRule="auto"/>
              <w:ind w:left="168" w:firstLine="0"/>
            </w:pPr>
            <w:r>
              <w:rPr>
                <w:sz w:val="18"/>
              </w:rPr>
              <w:t xml:space="preserve"> </w:t>
            </w:r>
            <w:r w:rsidR="00643648">
              <w:rPr>
                <w:sz w:val="18"/>
              </w:rPr>
              <w:t>11%</w:t>
            </w:r>
          </w:p>
        </w:tc>
        <w:tc>
          <w:tcPr>
            <w:tcW w:w="713" w:type="dxa"/>
            <w:tcBorders>
              <w:top w:val="nil"/>
              <w:left w:val="nil"/>
              <w:bottom w:val="nil"/>
              <w:right w:val="nil"/>
            </w:tcBorders>
          </w:tcPr>
          <w:p w14:paraId="4BD657A6" w14:textId="092DFC76" w:rsidR="008C3F1B" w:rsidRDefault="00643648">
            <w:pPr>
              <w:spacing w:after="0" w:line="259" w:lineRule="auto"/>
              <w:ind w:left="62" w:firstLine="0"/>
            </w:pPr>
            <w:r>
              <w:rPr>
                <w:sz w:val="18"/>
              </w:rPr>
              <w:t>9%</w:t>
            </w:r>
          </w:p>
        </w:tc>
        <w:tc>
          <w:tcPr>
            <w:tcW w:w="800" w:type="dxa"/>
            <w:tcBorders>
              <w:top w:val="nil"/>
              <w:left w:val="nil"/>
              <w:bottom w:val="nil"/>
              <w:right w:val="nil"/>
            </w:tcBorders>
          </w:tcPr>
          <w:p w14:paraId="78ED50CB" w14:textId="7549DDE0" w:rsidR="008C3F1B" w:rsidRDefault="008C3F1B">
            <w:pPr>
              <w:spacing w:after="0" w:line="259" w:lineRule="auto"/>
              <w:ind w:left="91" w:firstLine="0"/>
            </w:pPr>
          </w:p>
        </w:tc>
        <w:tc>
          <w:tcPr>
            <w:tcW w:w="645" w:type="dxa"/>
            <w:tcBorders>
              <w:top w:val="nil"/>
              <w:left w:val="nil"/>
              <w:bottom w:val="nil"/>
              <w:right w:val="single" w:sz="4" w:space="0" w:color="000000"/>
            </w:tcBorders>
          </w:tcPr>
          <w:p w14:paraId="4341859D" w14:textId="73F0BB2F" w:rsidR="008C3F1B" w:rsidRDefault="008C3F1B">
            <w:pPr>
              <w:spacing w:after="0" w:line="259" w:lineRule="auto"/>
              <w:ind w:left="110" w:firstLine="0"/>
            </w:pPr>
          </w:p>
        </w:tc>
      </w:tr>
      <w:tr w:rsidR="001E7773" w14:paraId="797D5C93" w14:textId="77777777" w:rsidTr="007F3285">
        <w:trPr>
          <w:trHeight w:val="238"/>
        </w:trPr>
        <w:tc>
          <w:tcPr>
            <w:tcW w:w="1927" w:type="dxa"/>
            <w:tcBorders>
              <w:top w:val="nil"/>
              <w:left w:val="single" w:sz="4" w:space="0" w:color="000000"/>
              <w:bottom w:val="nil"/>
              <w:right w:val="nil"/>
            </w:tcBorders>
          </w:tcPr>
          <w:p w14:paraId="4789A190" w14:textId="77777777" w:rsidR="008C3F1B" w:rsidRDefault="0059202B">
            <w:pPr>
              <w:spacing w:after="0" w:line="259" w:lineRule="auto"/>
              <w:ind w:left="108" w:firstLine="0"/>
            </w:pPr>
            <w:r>
              <w:rPr>
                <w:sz w:val="18"/>
              </w:rPr>
              <w:t xml:space="preserve">Market Cap (mil): </w:t>
            </w:r>
          </w:p>
        </w:tc>
        <w:tc>
          <w:tcPr>
            <w:tcW w:w="1067" w:type="dxa"/>
            <w:tcBorders>
              <w:top w:val="nil"/>
              <w:left w:val="nil"/>
              <w:bottom w:val="nil"/>
              <w:right w:val="single" w:sz="4" w:space="0" w:color="000000"/>
            </w:tcBorders>
          </w:tcPr>
          <w:p w14:paraId="0607E982" w14:textId="197A68F1" w:rsidR="008C3F1B" w:rsidRDefault="005172B1">
            <w:pPr>
              <w:spacing w:after="0" w:line="259" w:lineRule="auto"/>
              <w:ind w:left="146" w:firstLine="0"/>
            </w:pPr>
            <w:r>
              <w:rPr>
                <w:sz w:val="18"/>
              </w:rPr>
              <w:t xml:space="preserve">         </w:t>
            </w:r>
            <w:r w:rsidR="007F3285">
              <w:rPr>
                <w:sz w:val="18"/>
              </w:rPr>
              <w:t>1,687</w:t>
            </w:r>
            <w:r w:rsidR="00940145">
              <w:rPr>
                <w:sz w:val="18"/>
              </w:rPr>
              <w:t xml:space="preserve">           </w:t>
            </w:r>
          </w:p>
        </w:tc>
        <w:tc>
          <w:tcPr>
            <w:tcW w:w="2499" w:type="dxa"/>
            <w:tcBorders>
              <w:top w:val="nil"/>
              <w:left w:val="single" w:sz="4" w:space="0" w:color="000000"/>
              <w:bottom w:val="nil"/>
              <w:right w:val="nil"/>
            </w:tcBorders>
          </w:tcPr>
          <w:p w14:paraId="7895CBAF" w14:textId="77777777" w:rsidR="008C3F1B" w:rsidRDefault="0059202B">
            <w:pPr>
              <w:spacing w:after="0" w:line="259" w:lineRule="auto"/>
              <w:ind w:left="108" w:firstLine="0"/>
            </w:pPr>
            <w:r>
              <w:rPr>
                <w:sz w:val="18"/>
              </w:rPr>
              <w:t xml:space="preserve">M-Term EPS Gr Rate Est: </w:t>
            </w:r>
          </w:p>
        </w:tc>
        <w:tc>
          <w:tcPr>
            <w:tcW w:w="526" w:type="dxa"/>
            <w:tcBorders>
              <w:top w:val="nil"/>
              <w:left w:val="nil"/>
              <w:bottom w:val="nil"/>
              <w:right w:val="single" w:sz="4" w:space="0" w:color="000000"/>
            </w:tcBorders>
          </w:tcPr>
          <w:p w14:paraId="25B3DFE7" w14:textId="0FABFF02" w:rsidR="008C3F1B" w:rsidRDefault="005172B1">
            <w:pPr>
              <w:spacing w:after="0" w:line="259" w:lineRule="auto"/>
              <w:ind w:left="91" w:firstLine="0"/>
            </w:pPr>
            <w:r>
              <w:rPr>
                <w:sz w:val="18"/>
              </w:rPr>
              <w:t xml:space="preserve">      </w:t>
            </w:r>
            <w:r w:rsidR="00116E47">
              <w:rPr>
                <w:sz w:val="18"/>
              </w:rPr>
              <w:t>3</w:t>
            </w:r>
            <w:r w:rsidR="0059202B">
              <w:rPr>
                <w:sz w:val="18"/>
              </w:rPr>
              <w:t xml:space="preserve"> </w:t>
            </w:r>
          </w:p>
        </w:tc>
        <w:tc>
          <w:tcPr>
            <w:tcW w:w="1460" w:type="dxa"/>
            <w:tcBorders>
              <w:top w:val="nil"/>
              <w:left w:val="single" w:sz="4" w:space="0" w:color="000000"/>
              <w:bottom w:val="nil"/>
              <w:right w:val="nil"/>
            </w:tcBorders>
          </w:tcPr>
          <w:p w14:paraId="00A166FB" w14:textId="77777777" w:rsidR="008C3F1B" w:rsidRDefault="0059202B">
            <w:pPr>
              <w:spacing w:after="0" w:line="259" w:lineRule="auto"/>
              <w:ind w:left="108" w:firstLine="0"/>
            </w:pPr>
            <w:r>
              <w:rPr>
                <w:sz w:val="18"/>
              </w:rPr>
              <w:t xml:space="preserve">EBITDA </w:t>
            </w:r>
          </w:p>
        </w:tc>
        <w:tc>
          <w:tcPr>
            <w:tcW w:w="907" w:type="dxa"/>
            <w:tcBorders>
              <w:top w:val="nil"/>
              <w:left w:val="nil"/>
              <w:bottom w:val="nil"/>
              <w:right w:val="nil"/>
            </w:tcBorders>
          </w:tcPr>
          <w:p w14:paraId="4AF8584A" w14:textId="48834EAE" w:rsidR="008C3F1B" w:rsidRDefault="005E6CC5">
            <w:pPr>
              <w:spacing w:after="0" w:line="259" w:lineRule="auto"/>
              <w:ind w:left="77" w:firstLine="0"/>
            </w:pPr>
            <w:r>
              <w:rPr>
                <w:sz w:val="18"/>
              </w:rPr>
              <w:t>2,332</w:t>
            </w:r>
            <w:r w:rsidR="0059202B">
              <w:rPr>
                <w:sz w:val="18"/>
              </w:rPr>
              <w:t xml:space="preserve"> </w:t>
            </w:r>
          </w:p>
        </w:tc>
        <w:tc>
          <w:tcPr>
            <w:tcW w:w="713" w:type="dxa"/>
            <w:tcBorders>
              <w:top w:val="nil"/>
              <w:left w:val="nil"/>
              <w:bottom w:val="nil"/>
              <w:right w:val="nil"/>
            </w:tcBorders>
          </w:tcPr>
          <w:p w14:paraId="345FF610" w14:textId="65111446" w:rsidR="008C3F1B" w:rsidRDefault="00663340">
            <w:pPr>
              <w:spacing w:after="0" w:line="259" w:lineRule="auto"/>
              <w:ind w:left="0" w:firstLine="0"/>
            </w:pPr>
            <w:r>
              <w:rPr>
                <w:sz w:val="18"/>
              </w:rPr>
              <w:t>2,546</w:t>
            </w:r>
          </w:p>
        </w:tc>
        <w:tc>
          <w:tcPr>
            <w:tcW w:w="800" w:type="dxa"/>
            <w:tcBorders>
              <w:top w:val="nil"/>
              <w:left w:val="nil"/>
              <w:bottom w:val="nil"/>
              <w:right w:val="nil"/>
            </w:tcBorders>
          </w:tcPr>
          <w:p w14:paraId="606F8752" w14:textId="666AB522" w:rsidR="008C3F1B" w:rsidRDefault="008C3F1B">
            <w:pPr>
              <w:spacing w:after="0" w:line="259" w:lineRule="auto"/>
              <w:ind w:left="0" w:firstLine="0"/>
            </w:pPr>
          </w:p>
        </w:tc>
        <w:tc>
          <w:tcPr>
            <w:tcW w:w="645" w:type="dxa"/>
            <w:tcBorders>
              <w:top w:val="nil"/>
              <w:left w:val="nil"/>
              <w:bottom w:val="nil"/>
              <w:right w:val="single" w:sz="4" w:space="0" w:color="000000"/>
            </w:tcBorders>
          </w:tcPr>
          <w:p w14:paraId="31A747E1" w14:textId="2DD1D87B" w:rsidR="008C3F1B" w:rsidRDefault="008C3F1B">
            <w:pPr>
              <w:spacing w:after="0" w:line="259" w:lineRule="auto"/>
              <w:ind w:left="0" w:firstLine="0"/>
              <w:jc w:val="both"/>
            </w:pPr>
          </w:p>
        </w:tc>
      </w:tr>
      <w:tr w:rsidR="001E7773" w14:paraId="161B453B" w14:textId="77777777" w:rsidTr="007F3285">
        <w:trPr>
          <w:trHeight w:val="238"/>
        </w:trPr>
        <w:tc>
          <w:tcPr>
            <w:tcW w:w="1927" w:type="dxa"/>
            <w:tcBorders>
              <w:top w:val="nil"/>
              <w:left w:val="single" w:sz="4" w:space="0" w:color="000000"/>
              <w:bottom w:val="nil"/>
              <w:right w:val="nil"/>
            </w:tcBorders>
          </w:tcPr>
          <w:p w14:paraId="59556B70" w14:textId="77777777" w:rsidR="008C3F1B" w:rsidRDefault="0059202B">
            <w:pPr>
              <w:spacing w:after="0" w:line="259" w:lineRule="auto"/>
              <w:ind w:left="108" w:firstLine="0"/>
            </w:pPr>
            <w:r>
              <w:rPr>
                <w:sz w:val="18"/>
              </w:rPr>
              <w:t xml:space="preserve">Float (mil): </w:t>
            </w:r>
          </w:p>
        </w:tc>
        <w:tc>
          <w:tcPr>
            <w:tcW w:w="1067" w:type="dxa"/>
            <w:tcBorders>
              <w:top w:val="nil"/>
              <w:left w:val="nil"/>
              <w:bottom w:val="nil"/>
              <w:right w:val="single" w:sz="4" w:space="0" w:color="000000"/>
            </w:tcBorders>
          </w:tcPr>
          <w:p w14:paraId="3D07813A" w14:textId="77777777" w:rsidR="008C3F1B" w:rsidRDefault="0059202B">
            <w:pPr>
              <w:spacing w:after="0" w:line="259" w:lineRule="auto"/>
              <w:ind w:left="0" w:right="41" w:firstLine="0"/>
              <w:jc w:val="right"/>
            </w:pPr>
            <w:r>
              <w:rPr>
                <w:sz w:val="18"/>
              </w:rPr>
              <w:t xml:space="preserve">1,543.50 </w:t>
            </w:r>
          </w:p>
        </w:tc>
        <w:tc>
          <w:tcPr>
            <w:tcW w:w="2499" w:type="dxa"/>
            <w:tcBorders>
              <w:top w:val="nil"/>
              <w:left w:val="single" w:sz="4" w:space="0" w:color="000000"/>
              <w:bottom w:val="nil"/>
              <w:right w:val="nil"/>
            </w:tcBorders>
          </w:tcPr>
          <w:p w14:paraId="63F56A3B" w14:textId="54DA0212" w:rsidR="008C3F1B" w:rsidRDefault="008C3F1B">
            <w:pPr>
              <w:spacing w:after="0" w:line="259" w:lineRule="auto"/>
              <w:ind w:left="108" w:firstLine="0"/>
            </w:pPr>
          </w:p>
        </w:tc>
        <w:tc>
          <w:tcPr>
            <w:tcW w:w="526" w:type="dxa"/>
            <w:tcBorders>
              <w:top w:val="nil"/>
              <w:left w:val="nil"/>
              <w:bottom w:val="nil"/>
              <w:right w:val="single" w:sz="4" w:space="0" w:color="000000"/>
            </w:tcBorders>
          </w:tcPr>
          <w:p w14:paraId="58F9434E" w14:textId="19906E09" w:rsidR="008C3F1B" w:rsidRDefault="008C3F1B">
            <w:pPr>
              <w:spacing w:after="0" w:line="259" w:lineRule="auto"/>
              <w:ind w:left="0" w:firstLine="0"/>
              <w:jc w:val="both"/>
            </w:pPr>
          </w:p>
        </w:tc>
        <w:tc>
          <w:tcPr>
            <w:tcW w:w="1460" w:type="dxa"/>
            <w:tcBorders>
              <w:top w:val="nil"/>
              <w:left w:val="single" w:sz="4" w:space="0" w:color="000000"/>
              <w:bottom w:val="nil"/>
              <w:right w:val="nil"/>
            </w:tcBorders>
          </w:tcPr>
          <w:p w14:paraId="6D97FA6C" w14:textId="2216DFC9" w:rsidR="008C3F1B" w:rsidRDefault="008C3F1B">
            <w:pPr>
              <w:spacing w:after="0" w:line="259" w:lineRule="auto"/>
              <w:ind w:left="108" w:firstLine="0"/>
            </w:pPr>
          </w:p>
        </w:tc>
        <w:tc>
          <w:tcPr>
            <w:tcW w:w="907" w:type="dxa"/>
            <w:tcBorders>
              <w:top w:val="nil"/>
              <w:left w:val="nil"/>
              <w:bottom w:val="nil"/>
              <w:right w:val="nil"/>
            </w:tcBorders>
          </w:tcPr>
          <w:p w14:paraId="7A6F016F" w14:textId="5D019DFD" w:rsidR="008C3F1B" w:rsidRDefault="008C3F1B">
            <w:pPr>
              <w:spacing w:after="0" w:line="259" w:lineRule="auto"/>
              <w:ind w:left="168" w:firstLine="0"/>
            </w:pPr>
          </w:p>
        </w:tc>
        <w:tc>
          <w:tcPr>
            <w:tcW w:w="713" w:type="dxa"/>
            <w:tcBorders>
              <w:top w:val="nil"/>
              <w:left w:val="nil"/>
              <w:bottom w:val="nil"/>
              <w:right w:val="nil"/>
            </w:tcBorders>
          </w:tcPr>
          <w:p w14:paraId="0F96F770" w14:textId="0073293C" w:rsidR="008C3F1B" w:rsidRDefault="008C3F1B">
            <w:pPr>
              <w:spacing w:after="0" w:line="259" w:lineRule="auto"/>
              <w:ind w:left="91" w:firstLine="0"/>
            </w:pPr>
          </w:p>
        </w:tc>
        <w:tc>
          <w:tcPr>
            <w:tcW w:w="800" w:type="dxa"/>
            <w:tcBorders>
              <w:top w:val="nil"/>
              <w:left w:val="nil"/>
              <w:bottom w:val="nil"/>
              <w:right w:val="nil"/>
            </w:tcBorders>
          </w:tcPr>
          <w:p w14:paraId="2D9F3DC2" w14:textId="57F3C4B4" w:rsidR="008C3F1B" w:rsidRDefault="008C3F1B">
            <w:pPr>
              <w:spacing w:after="0" w:line="259" w:lineRule="auto"/>
              <w:ind w:left="91" w:firstLine="0"/>
            </w:pPr>
          </w:p>
        </w:tc>
        <w:tc>
          <w:tcPr>
            <w:tcW w:w="645" w:type="dxa"/>
            <w:tcBorders>
              <w:top w:val="nil"/>
              <w:left w:val="nil"/>
              <w:bottom w:val="nil"/>
              <w:right w:val="single" w:sz="4" w:space="0" w:color="000000"/>
            </w:tcBorders>
          </w:tcPr>
          <w:p w14:paraId="51110C8C" w14:textId="26B3BA03" w:rsidR="008C3F1B" w:rsidRDefault="008C3F1B">
            <w:pPr>
              <w:spacing w:after="0" w:line="259" w:lineRule="auto"/>
              <w:ind w:left="91" w:firstLine="0"/>
            </w:pPr>
          </w:p>
        </w:tc>
      </w:tr>
      <w:tr w:rsidR="001E7773" w14:paraId="114170F1" w14:textId="77777777" w:rsidTr="007F3285">
        <w:trPr>
          <w:trHeight w:val="238"/>
        </w:trPr>
        <w:tc>
          <w:tcPr>
            <w:tcW w:w="1927" w:type="dxa"/>
            <w:tcBorders>
              <w:top w:val="nil"/>
              <w:left w:val="single" w:sz="4" w:space="0" w:color="000000"/>
              <w:bottom w:val="nil"/>
              <w:right w:val="nil"/>
            </w:tcBorders>
          </w:tcPr>
          <w:p w14:paraId="2F3BB144" w14:textId="77777777" w:rsidR="008C3F1B" w:rsidRDefault="0059202B">
            <w:pPr>
              <w:spacing w:after="0" w:line="259" w:lineRule="auto"/>
              <w:ind w:left="108" w:firstLine="0"/>
            </w:pPr>
            <w:r>
              <w:rPr>
                <w:sz w:val="18"/>
              </w:rPr>
              <w:t xml:space="preserve">Short Interest (%): </w:t>
            </w:r>
          </w:p>
        </w:tc>
        <w:tc>
          <w:tcPr>
            <w:tcW w:w="1067" w:type="dxa"/>
            <w:tcBorders>
              <w:top w:val="nil"/>
              <w:left w:val="nil"/>
              <w:bottom w:val="nil"/>
              <w:right w:val="single" w:sz="4" w:space="0" w:color="000000"/>
            </w:tcBorders>
          </w:tcPr>
          <w:p w14:paraId="200C4676" w14:textId="50682364" w:rsidR="008C3F1B" w:rsidRDefault="00D677C2">
            <w:pPr>
              <w:spacing w:after="0" w:line="259" w:lineRule="auto"/>
              <w:ind w:left="0" w:right="41" w:firstLine="0"/>
              <w:jc w:val="right"/>
            </w:pPr>
            <w:r>
              <w:rPr>
                <w:sz w:val="18"/>
              </w:rPr>
              <w:t>2.98</w:t>
            </w:r>
            <w:r w:rsidR="0059202B">
              <w:rPr>
                <w:sz w:val="18"/>
              </w:rPr>
              <w:t xml:space="preserve"> </w:t>
            </w:r>
          </w:p>
        </w:tc>
        <w:tc>
          <w:tcPr>
            <w:tcW w:w="2499" w:type="dxa"/>
            <w:tcBorders>
              <w:top w:val="nil"/>
              <w:left w:val="single" w:sz="4" w:space="0" w:color="000000"/>
              <w:bottom w:val="nil"/>
              <w:right w:val="nil"/>
            </w:tcBorders>
          </w:tcPr>
          <w:p w14:paraId="11F7DEA8" w14:textId="34504628" w:rsidR="008C3F1B" w:rsidRDefault="0059202B">
            <w:pPr>
              <w:spacing w:after="0" w:line="259" w:lineRule="auto"/>
              <w:ind w:left="108" w:firstLine="0"/>
            </w:pPr>
            <w:r>
              <w:rPr>
                <w:sz w:val="18"/>
              </w:rPr>
              <w:t>Debt/EBITDA (</w:t>
            </w:r>
            <w:r w:rsidR="00065648">
              <w:rPr>
                <w:sz w:val="18"/>
              </w:rPr>
              <w:t>TTM</w:t>
            </w:r>
            <w:r>
              <w:rPr>
                <w:sz w:val="18"/>
              </w:rPr>
              <w:t xml:space="preserve">): </w:t>
            </w:r>
          </w:p>
        </w:tc>
        <w:tc>
          <w:tcPr>
            <w:tcW w:w="526" w:type="dxa"/>
            <w:tcBorders>
              <w:top w:val="nil"/>
              <w:left w:val="nil"/>
              <w:bottom w:val="nil"/>
              <w:right w:val="single" w:sz="4" w:space="0" w:color="000000"/>
            </w:tcBorders>
          </w:tcPr>
          <w:p w14:paraId="6D2598F0" w14:textId="2E1472A0" w:rsidR="008C3F1B" w:rsidRPr="00402715" w:rsidRDefault="00402715">
            <w:pPr>
              <w:spacing w:after="0" w:line="259" w:lineRule="auto"/>
              <w:ind w:left="91" w:firstLine="0"/>
              <w:rPr>
                <w:sz w:val="18"/>
                <w:szCs w:val="18"/>
              </w:rPr>
            </w:pPr>
            <w:r w:rsidRPr="00402715">
              <w:rPr>
                <w:sz w:val="18"/>
                <w:szCs w:val="18"/>
              </w:rPr>
              <w:t>3.01</w:t>
            </w:r>
          </w:p>
        </w:tc>
        <w:tc>
          <w:tcPr>
            <w:tcW w:w="1460" w:type="dxa"/>
            <w:tcBorders>
              <w:top w:val="nil"/>
              <w:left w:val="single" w:sz="4" w:space="0" w:color="000000"/>
              <w:bottom w:val="nil"/>
              <w:right w:val="nil"/>
            </w:tcBorders>
          </w:tcPr>
          <w:p w14:paraId="56691B15" w14:textId="77777777" w:rsidR="008C3F1B" w:rsidRDefault="0059202B">
            <w:pPr>
              <w:spacing w:after="0" w:line="259" w:lineRule="auto"/>
              <w:ind w:left="108" w:firstLine="0"/>
            </w:pPr>
            <w:r>
              <w:rPr>
                <w:sz w:val="18"/>
              </w:rPr>
              <w:t xml:space="preserve">EPS  </w:t>
            </w:r>
          </w:p>
        </w:tc>
        <w:tc>
          <w:tcPr>
            <w:tcW w:w="907" w:type="dxa"/>
            <w:tcBorders>
              <w:top w:val="nil"/>
              <w:left w:val="nil"/>
              <w:bottom w:val="nil"/>
              <w:right w:val="nil"/>
            </w:tcBorders>
          </w:tcPr>
          <w:p w14:paraId="1940E40D" w14:textId="5AF37782" w:rsidR="008C3F1B" w:rsidRDefault="008C6A41">
            <w:pPr>
              <w:spacing w:after="0" w:line="259" w:lineRule="auto"/>
              <w:ind w:left="168" w:firstLine="0"/>
            </w:pPr>
            <w:r>
              <w:rPr>
                <w:sz w:val="18"/>
              </w:rPr>
              <w:t>6.19</w:t>
            </w:r>
            <w:r w:rsidR="0059202B">
              <w:rPr>
                <w:sz w:val="18"/>
              </w:rPr>
              <w:t xml:space="preserve"> </w:t>
            </w:r>
          </w:p>
        </w:tc>
        <w:tc>
          <w:tcPr>
            <w:tcW w:w="713" w:type="dxa"/>
            <w:tcBorders>
              <w:top w:val="nil"/>
              <w:left w:val="nil"/>
              <w:bottom w:val="nil"/>
              <w:right w:val="nil"/>
            </w:tcBorders>
          </w:tcPr>
          <w:p w14:paraId="69797E04" w14:textId="3E9435F9" w:rsidR="008C3F1B" w:rsidRDefault="005E6CC5">
            <w:pPr>
              <w:spacing w:after="0" w:line="259" w:lineRule="auto"/>
              <w:ind w:left="137" w:firstLine="0"/>
            </w:pPr>
            <w:r>
              <w:rPr>
                <w:sz w:val="18"/>
              </w:rPr>
              <w:t>10.91</w:t>
            </w:r>
          </w:p>
        </w:tc>
        <w:tc>
          <w:tcPr>
            <w:tcW w:w="800" w:type="dxa"/>
            <w:tcBorders>
              <w:top w:val="nil"/>
              <w:left w:val="nil"/>
              <w:bottom w:val="nil"/>
              <w:right w:val="nil"/>
            </w:tcBorders>
          </w:tcPr>
          <w:p w14:paraId="74E4619A" w14:textId="25318603" w:rsidR="008C3F1B" w:rsidRDefault="008C3F1B">
            <w:pPr>
              <w:spacing w:after="0" w:line="259" w:lineRule="auto"/>
              <w:ind w:left="91" w:firstLine="0"/>
            </w:pPr>
          </w:p>
        </w:tc>
        <w:tc>
          <w:tcPr>
            <w:tcW w:w="645" w:type="dxa"/>
            <w:tcBorders>
              <w:top w:val="nil"/>
              <w:left w:val="nil"/>
              <w:bottom w:val="nil"/>
              <w:right w:val="single" w:sz="4" w:space="0" w:color="000000"/>
            </w:tcBorders>
          </w:tcPr>
          <w:p w14:paraId="78813E56" w14:textId="3DCE0F66" w:rsidR="008C3F1B" w:rsidRDefault="008C3F1B">
            <w:pPr>
              <w:spacing w:after="0" w:line="259" w:lineRule="auto"/>
              <w:ind w:left="110" w:firstLine="0"/>
            </w:pPr>
          </w:p>
        </w:tc>
      </w:tr>
      <w:tr w:rsidR="001E7773" w14:paraId="036FBB94" w14:textId="77777777" w:rsidTr="007F3285">
        <w:trPr>
          <w:trHeight w:val="238"/>
        </w:trPr>
        <w:tc>
          <w:tcPr>
            <w:tcW w:w="1927" w:type="dxa"/>
            <w:tcBorders>
              <w:top w:val="nil"/>
              <w:left w:val="single" w:sz="4" w:space="0" w:color="000000"/>
              <w:bottom w:val="nil"/>
              <w:right w:val="nil"/>
            </w:tcBorders>
          </w:tcPr>
          <w:p w14:paraId="16967F3B" w14:textId="77777777" w:rsidR="008C3F1B" w:rsidRDefault="0059202B">
            <w:pPr>
              <w:spacing w:after="0" w:line="259" w:lineRule="auto"/>
              <w:ind w:left="108" w:firstLine="0"/>
            </w:pPr>
            <w:r>
              <w:rPr>
                <w:sz w:val="18"/>
              </w:rPr>
              <w:t xml:space="preserve">Avg. Daily Vol (mil): </w:t>
            </w:r>
          </w:p>
        </w:tc>
        <w:tc>
          <w:tcPr>
            <w:tcW w:w="1067" w:type="dxa"/>
            <w:tcBorders>
              <w:top w:val="nil"/>
              <w:left w:val="nil"/>
              <w:bottom w:val="nil"/>
              <w:right w:val="single" w:sz="4" w:space="0" w:color="000000"/>
            </w:tcBorders>
          </w:tcPr>
          <w:p w14:paraId="269BBE52" w14:textId="749E81C8" w:rsidR="008C3F1B" w:rsidRDefault="002E081F">
            <w:pPr>
              <w:spacing w:after="0" w:line="259" w:lineRule="auto"/>
              <w:ind w:left="0" w:right="41" w:firstLine="0"/>
              <w:jc w:val="right"/>
            </w:pPr>
            <w:r>
              <w:rPr>
                <w:sz w:val="18"/>
              </w:rPr>
              <w:t>1.8</w:t>
            </w:r>
            <w:r w:rsidR="0059202B">
              <w:rPr>
                <w:sz w:val="18"/>
              </w:rPr>
              <w:t xml:space="preserve"> </w:t>
            </w:r>
          </w:p>
        </w:tc>
        <w:tc>
          <w:tcPr>
            <w:tcW w:w="2499" w:type="dxa"/>
            <w:tcBorders>
              <w:top w:val="nil"/>
              <w:left w:val="single" w:sz="4" w:space="0" w:color="000000"/>
              <w:bottom w:val="nil"/>
              <w:right w:val="nil"/>
            </w:tcBorders>
          </w:tcPr>
          <w:p w14:paraId="3FE118FF" w14:textId="77777777" w:rsidR="008C3F1B" w:rsidRDefault="0059202B">
            <w:pPr>
              <w:spacing w:after="0" w:line="259" w:lineRule="auto"/>
              <w:ind w:left="108" w:firstLine="0"/>
            </w:pPr>
            <w:r>
              <w:rPr>
                <w:sz w:val="18"/>
              </w:rPr>
              <w:t xml:space="preserve">ROA (%) </w:t>
            </w:r>
          </w:p>
        </w:tc>
        <w:tc>
          <w:tcPr>
            <w:tcW w:w="526" w:type="dxa"/>
            <w:tcBorders>
              <w:top w:val="nil"/>
              <w:left w:val="nil"/>
              <w:bottom w:val="nil"/>
              <w:right w:val="single" w:sz="4" w:space="0" w:color="000000"/>
            </w:tcBorders>
          </w:tcPr>
          <w:p w14:paraId="3988B3DF" w14:textId="4E7112EC" w:rsidR="008C3F1B" w:rsidRDefault="00F934B3">
            <w:pPr>
              <w:spacing w:after="0" w:line="259" w:lineRule="auto"/>
              <w:ind w:left="91" w:firstLine="0"/>
            </w:pPr>
            <w:r>
              <w:rPr>
                <w:sz w:val="18"/>
              </w:rPr>
              <w:t>6.24</w:t>
            </w:r>
          </w:p>
        </w:tc>
        <w:tc>
          <w:tcPr>
            <w:tcW w:w="1460" w:type="dxa"/>
            <w:tcBorders>
              <w:top w:val="nil"/>
              <w:left w:val="single" w:sz="4" w:space="0" w:color="000000"/>
              <w:bottom w:val="nil"/>
              <w:right w:val="nil"/>
            </w:tcBorders>
          </w:tcPr>
          <w:p w14:paraId="4C69458E" w14:textId="77777777" w:rsidR="008C3F1B" w:rsidRDefault="0059202B">
            <w:pPr>
              <w:spacing w:after="0" w:line="259" w:lineRule="auto"/>
              <w:ind w:left="108" w:firstLine="0"/>
            </w:pPr>
            <w:r>
              <w:rPr>
                <w:sz w:val="18"/>
              </w:rPr>
              <w:t xml:space="preserve">P/Cash Flow </w:t>
            </w:r>
          </w:p>
        </w:tc>
        <w:tc>
          <w:tcPr>
            <w:tcW w:w="907" w:type="dxa"/>
            <w:tcBorders>
              <w:top w:val="nil"/>
              <w:left w:val="nil"/>
              <w:bottom w:val="nil"/>
              <w:right w:val="nil"/>
            </w:tcBorders>
          </w:tcPr>
          <w:p w14:paraId="7D9E46BA" w14:textId="64474D66" w:rsidR="008C3F1B" w:rsidRPr="00FD0A67" w:rsidRDefault="00FD0A67">
            <w:pPr>
              <w:spacing w:after="0" w:line="259" w:lineRule="auto"/>
              <w:ind w:left="122" w:firstLine="0"/>
              <w:rPr>
                <w:sz w:val="18"/>
                <w:szCs w:val="18"/>
              </w:rPr>
            </w:pPr>
            <w:r>
              <w:rPr>
                <w:sz w:val="18"/>
                <w:szCs w:val="18"/>
              </w:rPr>
              <w:t xml:space="preserve"> </w:t>
            </w:r>
            <w:r w:rsidR="000A4599">
              <w:rPr>
                <w:sz w:val="18"/>
                <w:szCs w:val="18"/>
              </w:rPr>
              <w:t>7.</w:t>
            </w:r>
            <w:r w:rsidR="00AD3A91">
              <w:rPr>
                <w:sz w:val="18"/>
                <w:szCs w:val="18"/>
              </w:rPr>
              <w:t>10</w:t>
            </w:r>
            <w:r w:rsidR="001115DB" w:rsidRPr="00FD0A67">
              <w:rPr>
                <w:sz w:val="18"/>
                <w:szCs w:val="18"/>
              </w:rPr>
              <w:t xml:space="preserve">      </w:t>
            </w:r>
          </w:p>
        </w:tc>
        <w:tc>
          <w:tcPr>
            <w:tcW w:w="713" w:type="dxa"/>
            <w:tcBorders>
              <w:top w:val="nil"/>
              <w:left w:val="nil"/>
              <w:bottom w:val="nil"/>
              <w:right w:val="nil"/>
            </w:tcBorders>
          </w:tcPr>
          <w:p w14:paraId="3C0C4E39" w14:textId="72F2C5F7" w:rsidR="008C3F1B" w:rsidRPr="00FD0A67" w:rsidRDefault="00FD0A67">
            <w:pPr>
              <w:spacing w:after="0" w:line="259" w:lineRule="auto"/>
              <w:ind w:left="0" w:firstLine="0"/>
              <w:rPr>
                <w:sz w:val="18"/>
                <w:szCs w:val="18"/>
              </w:rPr>
            </w:pPr>
            <w:r>
              <w:rPr>
                <w:sz w:val="18"/>
                <w:szCs w:val="18"/>
              </w:rPr>
              <w:t xml:space="preserve"> </w:t>
            </w:r>
            <w:r w:rsidRPr="00FD0A67">
              <w:rPr>
                <w:sz w:val="18"/>
                <w:szCs w:val="18"/>
              </w:rPr>
              <w:t xml:space="preserve"> </w:t>
            </w:r>
            <w:r w:rsidRPr="00FD0A67">
              <w:rPr>
                <w:sz w:val="18"/>
                <w:szCs w:val="18"/>
              </w:rPr>
              <w:t xml:space="preserve"> </w:t>
            </w:r>
            <w:r w:rsidR="00DA5B27">
              <w:rPr>
                <w:sz w:val="18"/>
                <w:szCs w:val="18"/>
              </w:rPr>
              <w:t>11.55</w:t>
            </w:r>
          </w:p>
        </w:tc>
        <w:tc>
          <w:tcPr>
            <w:tcW w:w="800" w:type="dxa"/>
            <w:tcBorders>
              <w:top w:val="nil"/>
              <w:left w:val="nil"/>
              <w:bottom w:val="nil"/>
              <w:right w:val="nil"/>
            </w:tcBorders>
          </w:tcPr>
          <w:p w14:paraId="3F21B5E7" w14:textId="21F89DDB" w:rsidR="008C3F1B" w:rsidRDefault="008C3F1B">
            <w:pPr>
              <w:spacing w:after="0" w:line="259" w:lineRule="auto"/>
              <w:ind w:left="46" w:firstLine="0"/>
            </w:pPr>
          </w:p>
        </w:tc>
        <w:tc>
          <w:tcPr>
            <w:tcW w:w="645" w:type="dxa"/>
            <w:tcBorders>
              <w:top w:val="nil"/>
              <w:left w:val="nil"/>
              <w:bottom w:val="nil"/>
              <w:right w:val="single" w:sz="4" w:space="0" w:color="000000"/>
            </w:tcBorders>
          </w:tcPr>
          <w:p w14:paraId="0B4C268E" w14:textId="77EEDF47" w:rsidR="008C3F1B" w:rsidRDefault="008C3F1B">
            <w:pPr>
              <w:spacing w:after="0" w:line="259" w:lineRule="auto"/>
              <w:ind w:left="65" w:firstLine="0"/>
            </w:pPr>
          </w:p>
        </w:tc>
      </w:tr>
      <w:tr w:rsidR="001E7773" w14:paraId="71416262" w14:textId="77777777" w:rsidTr="007F3285">
        <w:trPr>
          <w:trHeight w:val="337"/>
        </w:trPr>
        <w:tc>
          <w:tcPr>
            <w:tcW w:w="1927" w:type="dxa"/>
            <w:tcBorders>
              <w:top w:val="nil"/>
              <w:left w:val="single" w:sz="4" w:space="0" w:color="000000"/>
              <w:bottom w:val="nil"/>
              <w:right w:val="nil"/>
            </w:tcBorders>
          </w:tcPr>
          <w:p w14:paraId="707BD3C3" w14:textId="77777777" w:rsidR="008C3F1B" w:rsidRDefault="0059202B">
            <w:pPr>
              <w:spacing w:after="0" w:line="259" w:lineRule="auto"/>
              <w:ind w:left="108" w:firstLine="0"/>
            </w:pPr>
            <w:r>
              <w:rPr>
                <w:sz w:val="18"/>
              </w:rPr>
              <w:t xml:space="preserve">Dividend ($): </w:t>
            </w:r>
          </w:p>
        </w:tc>
        <w:tc>
          <w:tcPr>
            <w:tcW w:w="1067" w:type="dxa"/>
            <w:tcBorders>
              <w:top w:val="nil"/>
              <w:left w:val="nil"/>
              <w:bottom w:val="nil"/>
              <w:right w:val="single" w:sz="4" w:space="0" w:color="000000"/>
            </w:tcBorders>
          </w:tcPr>
          <w:p w14:paraId="5977C61E" w14:textId="3992A71D" w:rsidR="008C3F1B" w:rsidRDefault="002E792A">
            <w:pPr>
              <w:spacing w:after="0" w:line="259" w:lineRule="auto"/>
              <w:ind w:left="0" w:right="41" w:firstLine="0"/>
              <w:jc w:val="right"/>
            </w:pPr>
            <w:r>
              <w:rPr>
                <w:sz w:val="18"/>
              </w:rPr>
              <w:t>2.</w:t>
            </w:r>
            <w:r w:rsidR="00C078F3">
              <w:rPr>
                <w:sz w:val="18"/>
              </w:rPr>
              <w:t>36</w:t>
            </w:r>
            <w:r w:rsidR="0059202B">
              <w:rPr>
                <w:sz w:val="18"/>
              </w:rPr>
              <w:t xml:space="preserve"> </w:t>
            </w:r>
          </w:p>
        </w:tc>
        <w:tc>
          <w:tcPr>
            <w:tcW w:w="2499" w:type="dxa"/>
            <w:tcBorders>
              <w:top w:val="nil"/>
              <w:left w:val="single" w:sz="4" w:space="0" w:color="000000"/>
              <w:bottom w:val="nil"/>
              <w:right w:val="nil"/>
            </w:tcBorders>
          </w:tcPr>
          <w:p w14:paraId="62F8447D" w14:textId="77777777" w:rsidR="008C3F1B" w:rsidRDefault="0059202B">
            <w:pPr>
              <w:spacing w:after="0" w:line="259" w:lineRule="auto"/>
              <w:ind w:left="108" w:firstLine="0"/>
            </w:pPr>
            <w:r>
              <w:rPr>
                <w:sz w:val="18"/>
              </w:rPr>
              <w:t xml:space="preserve">ROE (%) </w:t>
            </w:r>
          </w:p>
        </w:tc>
        <w:tc>
          <w:tcPr>
            <w:tcW w:w="526" w:type="dxa"/>
            <w:tcBorders>
              <w:top w:val="nil"/>
              <w:left w:val="nil"/>
              <w:bottom w:val="nil"/>
              <w:right w:val="single" w:sz="4" w:space="0" w:color="000000"/>
            </w:tcBorders>
          </w:tcPr>
          <w:p w14:paraId="69685636" w14:textId="05233C41" w:rsidR="008C3F1B" w:rsidRDefault="00E946FE">
            <w:pPr>
              <w:spacing w:after="0" w:line="259" w:lineRule="auto"/>
              <w:ind w:left="0" w:firstLine="0"/>
              <w:jc w:val="both"/>
            </w:pPr>
            <w:r>
              <w:rPr>
                <w:sz w:val="18"/>
              </w:rPr>
              <w:t>20.00</w:t>
            </w:r>
            <w:r w:rsidR="0059202B">
              <w:rPr>
                <w:sz w:val="18"/>
              </w:rPr>
              <w:t xml:space="preserve"> </w:t>
            </w:r>
          </w:p>
        </w:tc>
        <w:tc>
          <w:tcPr>
            <w:tcW w:w="1460" w:type="dxa"/>
            <w:tcBorders>
              <w:top w:val="nil"/>
              <w:left w:val="single" w:sz="4" w:space="0" w:color="000000"/>
              <w:bottom w:val="nil"/>
              <w:right w:val="nil"/>
            </w:tcBorders>
          </w:tcPr>
          <w:p w14:paraId="62C0378C" w14:textId="77777777" w:rsidR="008C3F1B" w:rsidRDefault="0059202B">
            <w:pPr>
              <w:spacing w:after="0" w:line="259" w:lineRule="auto"/>
              <w:ind w:left="108" w:firstLine="0"/>
            </w:pPr>
            <w:r>
              <w:rPr>
                <w:sz w:val="18"/>
              </w:rPr>
              <w:t xml:space="preserve">P/E  </w:t>
            </w:r>
          </w:p>
        </w:tc>
        <w:tc>
          <w:tcPr>
            <w:tcW w:w="907" w:type="dxa"/>
            <w:tcBorders>
              <w:top w:val="nil"/>
              <w:left w:val="nil"/>
              <w:bottom w:val="nil"/>
              <w:right w:val="nil"/>
            </w:tcBorders>
          </w:tcPr>
          <w:p w14:paraId="031FDF36" w14:textId="337AE8AE" w:rsidR="008C3F1B" w:rsidRDefault="00FD0A67">
            <w:pPr>
              <w:spacing w:after="0" w:line="259" w:lineRule="auto"/>
              <w:ind w:left="122" w:firstLine="0"/>
            </w:pPr>
            <w:r>
              <w:rPr>
                <w:sz w:val="18"/>
                <w:szCs w:val="18"/>
              </w:rPr>
              <w:t xml:space="preserve"> </w:t>
            </w:r>
            <w:r w:rsidRPr="00FD0A67">
              <w:rPr>
                <w:sz w:val="18"/>
                <w:szCs w:val="18"/>
              </w:rPr>
              <w:t xml:space="preserve">14.8       </w:t>
            </w:r>
          </w:p>
        </w:tc>
        <w:tc>
          <w:tcPr>
            <w:tcW w:w="713" w:type="dxa"/>
            <w:tcBorders>
              <w:top w:val="nil"/>
              <w:left w:val="nil"/>
              <w:bottom w:val="nil"/>
              <w:right w:val="nil"/>
            </w:tcBorders>
          </w:tcPr>
          <w:p w14:paraId="78C2DCED" w14:textId="487E3DB1" w:rsidR="008C3F1B" w:rsidRPr="00836CAF" w:rsidRDefault="00FD0A67" w:rsidP="00836CAF">
            <w:pPr>
              <w:spacing w:after="0" w:line="259" w:lineRule="auto"/>
              <w:ind w:left="46" w:firstLine="0"/>
              <w:rPr>
                <w:sz w:val="18"/>
              </w:rPr>
            </w:pPr>
            <w:r>
              <w:rPr>
                <w:sz w:val="18"/>
                <w:szCs w:val="18"/>
              </w:rPr>
              <w:t xml:space="preserve"> </w:t>
            </w:r>
            <w:r w:rsidRPr="00FD0A67">
              <w:rPr>
                <w:sz w:val="18"/>
                <w:szCs w:val="18"/>
              </w:rPr>
              <w:t xml:space="preserve"> 21.25</w:t>
            </w:r>
          </w:p>
        </w:tc>
        <w:tc>
          <w:tcPr>
            <w:tcW w:w="800" w:type="dxa"/>
            <w:tcBorders>
              <w:top w:val="nil"/>
              <w:left w:val="nil"/>
              <w:bottom w:val="nil"/>
              <w:right w:val="nil"/>
            </w:tcBorders>
          </w:tcPr>
          <w:p w14:paraId="66A266C9" w14:textId="1B0F574D" w:rsidR="008C3F1B" w:rsidRDefault="008C3F1B">
            <w:pPr>
              <w:spacing w:after="0" w:line="259" w:lineRule="auto"/>
              <w:ind w:left="46" w:firstLine="0"/>
            </w:pPr>
          </w:p>
        </w:tc>
        <w:tc>
          <w:tcPr>
            <w:tcW w:w="645" w:type="dxa"/>
            <w:tcBorders>
              <w:top w:val="nil"/>
              <w:left w:val="nil"/>
              <w:bottom w:val="nil"/>
              <w:right w:val="single" w:sz="4" w:space="0" w:color="000000"/>
            </w:tcBorders>
          </w:tcPr>
          <w:p w14:paraId="7F4E1325" w14:textId="59CCA629" w:rsidR="008C3F1B" w:rsidRDefault="008C3F1B">
            <w:pPr>
              <w:spacing w:after="0" w:line="259" w:lineRule="auto"/>
              <w:ind w:left="65" w:firstLine="0"/>
            </w:pPr>
          </w:p>
        </w:tc>
      </w:tr>
      <w:tr w:rsidR="001E7773" w14:paraId="76B02EBC" w14:textId="77777777" w:rsidTr="007F3285">
        <w:trPr>
          <w:trHeight w:val="217"/>
        </w:trPr>
        <w:tc>
          <w:tcPr>
            <w:tcW w:w="1927" w:type="dxa"/>
            <w:tcBorders>
              <w:top w:val="nil"/>
              <w:left w:val="single" w:sz="4" w:space="0" w:color="000000"/>
              <w:bottom w:val="single" w:sz="4" w:space="0" w:color="000000"/>
              <w:right w:val="nil"/>
            </w:tcBorders>
          </w:tcPr>
          <w:p w14:paraId="746831D3" w14:textId="77777777" w:rsidR="008C3F1B" w:rsidRDefault="0059202B">
            <w:pPr>
              <w:spacing w:after="0" w:line="259" w:lineRule="auto"/>
              <w:ind w:left="108" w:firstLine="0"/>
            </w:pPr>
            <w:r>
              <w:rPr>
                <w:sz w:val="18"/>
              </w:rPr>
              <w:t xml:space="preserve">Yield (%): </w:t>
            </w:r>
          </w:p>
        </w:tc>
        <w:tc>
          <w:tcPr>
            <w:tcW w:w="1067" w:type="dxa"/>
            <w:tcBorders>
              <w:top w:val="nil"/>
              <w:left w:val="nil"/>
              <w:bottom w:val="single" w:sz="4" w:space="0" w:color="000000"/>
              <w:right w:val="single" w:sz="4" w:space="0" w:color="000000"/>
            </w:tcBorders>
          </w:tcPr>
          <w:p w14:paraId="5C4C5EF7" w14:textId="3231EC3F" w:rsidR="008C3F1B" w:rsidRDefault="00581DAE">
            <w:pPr>
              <w:spacing w:after="0" w:line="259" w:lineRule="auto"/>
              <w:ind w:left="0" w:right="41" w:firstLine="0"/>
              <w:jc w:val="right"/>
            </w:pPr>
            <w:r>
              <w:rPr>
                <w:sz w:val="18"/>
              </w:rPr>
              <w:t>1.57</w:t>
            </w:r>
            <w:r w:rsidR="0059202B">
              <w:rPr>
                <w:sz w:val="18"/>
              </w:rPr>
              <w:t xml:space="preserve"> </w:t>
            </w:r>
          </w:p>
        </w:tc>
        <w:tc>
          <w:tcPr>
            <w:tcW w:w="2499" w:type="dxa"/>
            <w:tcBorders>
              <w:top w:val="nil"/>
              <w:left w:val="single" w:sz="4" w:space="0" w:color="000000"/>
              <w:bottom w:val="single" w:sz="4" w:space="0" w:color="000000"/>
              <w:right w:val="nil"/>
            </w:tcBorders>
          </w:tcPr>
          <w:p w14:paraId="78E4188C" w14:textId="77777777" w:rsidR="008C3F1B" w:rsidRDefault="0059202B">
            <w:pPr>
              <w:spacing w:after="0" w:line="259" w:lineRule="auto"/>
              <w:ind w:left="108" w:firstLine="0"/>
            </w:pPr>
            <w:r>
              <w:rPr>
                <w:sz w:val="18"/>
              </w:rPr>
              <w:t xml:space="preserve">ROIC (%) </w:t>
            </w:r>
          </w:p>
        </w:tc>
        <w:tc>
          <w:tcPr>
            <w:tcW w:w="526" w:type="dxa"/>
            <w:tcBorders>
              <w:top w:val="nil"/>
              <w:left w:val="nil"/>
              <w:bottom w:val="single" w:sz="4" w:space="0" w:color="000000"/>
              <w:right w:val="single" w:sz="4" w:space="0" w:color="000000"/>
            </w:tcBorders>
          </w:tcPr>
          <w:p w14:paraId="618EA57F" w14:textId="18D22720" w:rsidR="008C3F1B" w:rsidRDefault="00F934B3">
            <w:pPr>
              <w:spacing w:after="0" w:line="259" w:lineRule="auto"/>
              <w:ind w:left="0" w:firstLine="0"/>
              <w:jc w:val="both"/>
            </w:pPr>
            <w:r>
              <w:rPr>
                <w:sz w:val="18"/>
              </w:rPr>
              <w:t>10.22</w:t>
            </w:r>
          </w:p>
        </w:tc>
        <w:tc>
          <w:tcPr>
            <w:tcW w:w="1460" w:type="dxa"/>
            <w:tcBorders>
              <w:top w:val="nil"/>
              <w:left w:val="single" w:sz="4" w:space="0" w:color="000000"/>
              <w:bottom w:val="single" w:sz="4" w:space="0" w:color="000000"/>
              <w:right w:val="nil"/>
            </w:tcBorders>
          </w:tcPr>
          <w:p w14:paraId="386FF60B" w14:textId="77777777" w:rsidR="008C3F1B" w:rsidRDefault="0059202B">
            <w:pPr>
              <w:spacing w:after="0" w:line="259" w:lineRule="auto"/>
              <w:ind w:left="108" w:firstLine="0"/>
            </w:pPr>
            <w:r>
              <w:rPr>
                <w:sz w:val="18"/>
              </w:rPr>
              <w:t xml:space="preserve">EV/EBITDA </w:t>
            </w:r>
          </w:p>
        </w:tc>
        <w:tc>
          <w:tcPr>
            <w:tcW w:w="907" w:type="dxa"/>
            <w:tcBorders>
              <w:top w:val="nil"/>
              <w:left w:val="nil"/>
              <w:bottom w:val="single" w:sz="4" w:space="0" w:color="000000"/>
              <w:right w:val="nil"/>
            </w:tcBorders>
          </w:tcPr>
          <w:p w14:paraId="3A3ED5F8" w14:textId="7A5EA41B" w:rsidR="008C3F1B" w:rsidRPr="00272FAF" w:rsidRDefault="007F3285" w:rsidP="007F3285">
            <w:pPr>
              <w:spacing w:after="0" w:line="259" w:lineRule="auto"/>
              <w:ind w:left="122" w:right="-1320" w:firstLine="0"/>
              <w:rPr>
                <w:sz w:val="18"/>
                <w:szCs w:val="18"/>
              </w:rPr>
            </w:pPr>
            <w:r>
              <w:rPr>
                <w:sz w:val="18"/>
                <w:szCs w:val="18"/>
              </w:rPr>
              <w:t>5.92             9.8  9.8</w:t>
            </w:r>
          </w:p>
        </w:tc>
        <w:tc>
          <w:tcPr>
            <w:tcW w:w="713" w:type="dxa"/>
            <w:tcBorders>
              <w:top w:val="nil"/>
              <w:left w:val="nil"/>
              <w:bottom w:val="single" w:sz="4" w:space="0" w:color="000000"/>
              <w:right w:val="nil"/>
            </w:tcBorders>
          </w:tcPr>
          <w:p w14:paraId="17A359FF" w14:textId="57597B89" w:rsidR="008C3F1B" w:rsidRPr="007F3285" w:rsidRDefault="007F3285" w:rsidP="007F3285">
            <w:pPr>
              <w:spacing w:after="0" w:line="259" w:lineRule="auto"/>
              <w:ind w:left="0" w:firstLine="0"/>
              <w:rPr>
                <w:sz w:val="18"/>
                <w:szCs w:val="18"/>
              </w:rPr>
            </w:pPr>
            <w:r>
              <w:rPr>
                <w:sz w:val="18"/>
                <w:szCs w:val="18"/>
              </w:rPr>
              <w:t xml:space="preserve">    9.8</w:t>
            </w:r>
          </w:p>
        </w:tc>
        <w:tc>
          <w:tcPr>
            <w:tcW w:w="800" w:type="dxa"/>
            <w:tcBorders>
              <w:top w:val="nil"/>
              <w:left w:val="nil"/>
              <w:bottom w:val="single" w:sz="4" w:space="0" w:color="000000"/>
              <w:right w:val="nil"/>
            </w:tcBorders>
          </w:tcPr>
          <w:p w14:paraId="70C04960" w14:textId="098AEB12" w:rsidR="008C3F1B" w:rsidRDefault="008C3F1B" w:rsidP="007F3285">
            <w:pPr>
              <w:spacing w:after="0" w:line="259" w:lineRule="auto"/>
              <w:ind w:left="0" w:firstLine="0"/>
            </w:pPr>
          </w:p>
        </w:tc>
        <w:tc>
          <w:tcPr>
            <w:tcW w:w="645" w:type="dxa"/>
            <w:tcBorders>
              <w:top w:val="nil"/>
              <w:left w:val="nil"/>
              <w:bottom w:val="single" w:sz="4" w:space="0" w:color="000000"/>
              <w:right w:val="single" w:sz="4" w:space="0" w:color="000000"/>
            </w:tcBorders>
          </w:tcPr>
          <w:p w14:paraId="1BCBDB7E" w14:textId="3694E7BC" w:rsidR="008C3F1B" w:rsidRDefault="008C3F1B" w:rsidP="003C1FD5">
            <w:pPr>
              <w:spacing w:after="0" w:line="259" w:lineRule="auto"/>
              <w:ind w:left="0" w:firstLine="0"/>
            </w:pPr>
          </w:p>
        </w:tc>
      </w:tr>
    </w:tbl>
    <w:p w14:paraId="093A4264" w14:textId="6DDABD54" w:rsidR="008C3F1B" w:rsidRDefault="008C3F1B">
      <w:pPr>
        <w:spacing w:after="18" w:line="259" w:lineRule="auto"/>
        <w:ind w:left="0" w:firstLine="0"/>
      </w:pPr>
    </w:p>
    <w:p w14:paraId="233BE3F7" w14:textId="56617A07" w:rsidR="00902FEB" w:rsidRPr="00902FEB" w:rsidRDefault="0059202B" w:rsidP="001901FE">
      <w:pPr>
        <w:pStyle w:val="Heading1"/>
        <w:ind w:left="-5" w:right="0"/>
      </w:pPr>
      <w:r>
        <w:t>Investment Thesis</w:t>
      </w:r>
      <w:r>
        <w:rPr>
          <w:b w:val="0"/>
        </w:rPr>
        <w:t xml:space="preserve"> </w:t>
      </w:r>
      <w:r>
        <w:rPr>
          <w:rFonts w:ascii="Arial" w:eastAsia="Arial" w:hAnsi="Arial" w:cs="Arial"/>
          <w:b w:val="0"/>
        </w:rPr>
        <w:t xml:space="preserve"> </w:t>
      </w:r>
    </w:p>
    <w:p w14:paraId="4DC30171" w14:textId="5056EF88" w:rsidR="007853BE" w:rsidRPr="00E36D3A" w:rsidRDefault="00866007">
      <w:pPr>
        <w:ind w:left="-5"/>
      </w:pPr>
      <w:r>
        <w:t xml:space="preserve">In recent years </w:t>
      </w:r>
      <w:r w:rsidR="00D9093F">
        <w:t>oil prices have stabilized.</w:t>
      </w:r>
      <w:r w:rsidR="00D9093F">
        <w:t xml:space="preserve"> </w:t>
      </w:r>
      <w:r w:rsidR="009A7B3E">
        <w:t>Due to the large amount of supply saturating the market, our thesis revolves around the concept that the price of oil will stay within the range of $50-</w:t>
      </w:r>
      <w:r w:rsidR="009A7B3E">
        <w:t>$</w:t>
      </w:r>
      <w:r w:rsidR="006E0DCF">
        <w:t xml:space="preserve">70 for the </w:t>
      </w:r>
      <w:r w:rsidR="00022001">
        <w:t>foreseeable</w:t>
      </w:r>
      <w:r w:rsidR="006E0DCF">
        <w:t xml:space="preserve"> future. Because these prices are so </w:t>
      </w:r>
      <w:r w:rsidR="000423B7">
        <w:t>stable</w:t>
      </w:r>
      <w:r w:rsidR="006E0DCF">
        <w:t xml:space="preserve">, we view the profits in the energy industry to found not by the companies that drill the oil, and thus have </w:t>
      </w:r>
      <w:r w:rsidR="00186E89">
        <w:t xml:space="preserve">their revenues </w:t>
      </w:r>
      <w:r w:rsidR="005F640F">
        <w:t xml:space="preserve">tied </w:t>
      </w:r>
      <w:r w:rsidR="001B1820">
        <w:t xml:space="preserve">to the commodities market. By refining the product, it moves into a market with more differentiation. </w:t>
      </w:r>
      <w:r w:rsidR="000E27E2">
        <w:t xml:space="preserve">With the price of oil remaining so </w:t>
      </w:r>
      <w:r w:rsidR="00C80794">
        <w:t>stable</w:t>
      </w:r>
      <w:r w:rsidR="000E27E2">
        <w:t xml:space="preserve">, it keeps the profit </w:t>
      </w:r>
      <w:r w:rsidR="00694885">
        <w:t>margins on the refinery side. This is because oil is the largest input into the expense equation</w:t>
      </w:r>
      <w:r w:rsidR="002C508E">
        <w:t>.</w:t>
      </w:r>
    </w:p>
    <w:p w14:paraId="219470BA" w14:textId="77777777" w:rsidR="0086639C" w:rsidRDefault="0086639C">
      <w:pPr>
        <w:ind w:left="-5"/>
      </w:pPr>
    </w:p>
    <w:p w14:paraId="2A57BA6A" w14:textId="78973567" w:rsidR="0086639C" w:rsidRDefault="0086639C">
      <w:pPr>
        <w:ind w:left="-5"/>
      </w:pPr>
      <w:r>
        <w:t>The incoming economic contraction</w:t>
      </w:r>
      <w:r w:rsidR="00C310A6">
        <w:t xml:space="preserve"> will have little ef</w:t>
      </w:r>
      <w:r w:rsidR="0070730C">
        <w:t xml:space="preserve">fect on the performance of this company. This is due to the inelastic nature of its product. </w:t>
      </w:r>
      <w:r w:rsidR="00C714DD">
        <w:t xml:space="preserve">People will always need to put gasoline into their cars, it is part of the necessity spending segment of the economy, rather than the consumer discretionary </w:t>
      </w:r>
      <w:r w:rsidR="00730EA3">
        <w:t>segment. If the slowdown causes the price of oil to drop further, as it has historically, this will be an added benefit to the company, as it will further increase margins</w:t>
      </w:r>
      <w:r w:rsidR="003C4F49">
        <w:t>.</w:t>
      </w:r>
    </w:p>
    <w:p w14:paraId="70C5032C" w14:textId="77777777" w:rsidR="00CE6DF3" w:rsidRPr="00CE6DF3" w:rsidRDefault="00CE6DF3" w:rsidP="00CE6DF3">
      <w:pPr>
        <w:ind w:left="-5"/>
      </w:pPr>
    </w:p>
    <w:p w14:paraId="50C668F5" w14:textId="77777777" w:rsidR="00F81D2D" w:rsidRDefault="006676C3">
      <w:pPr>
        <w:ind w:left="-5"/>
      </w:pPr>
      <w:r>
        <w:t xml:space="preserve">The general trend toward green energy and oil product disruption is not a real concern for us considering our investment horizon. The chances of the entire oil and energy industry becoming </w:t>
      </w:r>
    </w:p>
    <w:p w14:paraId="2A09BFF1" w14:textId="77A9D096" w:rsidR="00E71D05" w:rsidRPr="00E71D05" w:rsidRDefault="00212223" w:rsidP="00E71D05">
      <w:pPr>
        <w:ind w:left="-5"/>
      </w:pPr>
      <w:r>
        <w:t xml:space="preserve"> </w:t>
      </w:r>
      <w:r w:rsidR="001D2A93">
        <w:t>obsolete</w:t>
      </w:r>
      <w:r w:rsidR="006676C3">
        <w:t xml:space="preserve"> and useless within the next five years are next to zero. </w:t>
      </w:r>
      <w:r w:rsidR="001930C1">
        <w:t>In the</w:t>
      </w:r>
      <w:r w:rsidR="00E212EC">
        <w:t xml:space="preserve"> very long run (40+ years</w:t>
      </w:r>
      <w:r w:rsidR="00896873">
        <w:t>)</w:t>
      </w:r>
      <w:r w:rsidR="00A24FF7">
        <w:t xml:space="preserve">, the stock will </w:t>
      </w:r>
      <w:r w:rsidR="00E212EC">
        <w:t>perform very poorly</w:t>
      </w:r>
      <w:r w:rsidR="00A24FF7">
        <w:t xml:space="preserve"> unless it reinvents itself off</w:t>
      </w:r>
      <w:r w:rsidR="00A24FF7">
        <w:t xml:space="preserve"> </w:t>
      </w:r>
      <w:r w:rsidR="00A24FF7">
        <w:t xml:space="preserve">the oil business, oil being a scarce resource that will be completely consumed at some point </w:t>
      </w:r>
      <w:r w:rsidR="00DC6409">
        <w:t>in the future.</w:t>
      </w:r>
      <w:r w:rsidR="00DC6409">
        <w:t xml:space="preserve"> </w:t>
      </w:r>
      <w:r w:rsidR="00273F16">
        <w:t xml:space="preserve">Currently it is estimated that the world will run out of oil sometime in the 2060’s. Because of this time frame, it does not </w:t>
      </w:r>
      <w:r w:rsidR="001D105B">
        <w:t>a</w:t>
      </w:r>
      <w:r w:rsidR="00273F16">
        <w:t>ffect our DCF models, as by the time the model reaches that value, the cash flow from that period is already approaching zero.</w:t>
      </w:r>
    </w:p>
    <w:p w14:paraId="78237973" w14:textId="77777777" w:rsidR="006676C3" w:rsidRDefault="006676C3">
      <w:pPr>
        <w:ind w:left="-5"/>
      </w:pPr>
    </w:p>
    <w:p w14:paraId="29D92F05" w14:textId="14809592" w:rsidR="003C4F49" w:rsidRPr="00E36D3A" w:rsidRDefault="00862C15">
      <w:pPr>
        <w:ind w:left="-5"/>
      </w:pPr>
      <w:r>
        <w:t xml:space="preserve">The </w:t>
      </w:r>
      <w:r w:rsidR="0021767C">
        <w:t>reason</w:t>
      </w:r>
      <w:r>
        <w:t xml:space="preserve"> we chose </w:t>
      </w:r>
      <w:r w:rsidR="008E6DFB">
        <w:t xml:space="preserve">Andeavor over its peers is </w:t>
      </w:r>
      <w:r w:rsidR="001133D3">
        <w:t>because it</w:t>
      </w:r>
      <w:r w:rsidR="00773E93">
        <w:t xml:space="preserve"> i</w:t>
      </w:r>
      <w:r w:rsidR="001133D3">
        <w:t xml:space="preserve">s </w:t>
      </w:r>
      <w:r w:rsidR="009033D8">
        <w:t xml:space="preserve">relatively inexpensive compared to its peers. </w:t>
      </w:r>
      <w:r w:rsidR="000423B7">
        <w:t xml:space="preserve">It is the standout value stock within the peer group. </w:t>
      </w:r>
      <w:r w:rsidR="00652D29">
        <w:t xml:space="preserve">In addition, Andeavor also does </w:t>
      </w:r>
      <w:r w:rsidR="00D658C9">
        <w:t xml:space="preserve">all its business west of the Mississippi, which is where there is the most population growth, and thus the most rising demand for oil. </w:t>
      </w:r>
      <w:r w:rsidR="004479B3">
        <w:t xml:space="preserve">In an industry with high barriers to entry, having the infrastructure </w:t>
      </w:r>
      <w:r w:rsidR="009330ED">
        <w:t xml:space="preserve">already in place </w:t>
      </w:r>
      <w:r w:rsidR="008B4F51">
        <w:t xml:space="preserve">puts Andeavor in a better position to </w:t>
      </w:r>
      <w:r w:rsidR="005D7B98">
        <w:t xml:space="preserve">capitalize on rising demand. </w:t>
      </w:r>
      <w:r w:rsidR="000423B7">
        <w:t>Based on our valuations, we are very confident in the upside that it represents.</w:t>
      </w:r>
    </w:p>
    <w:p w14:paraId="6C7FA472" w14:textId="0386A600" w:rsidR="008C3F1B" w:rsidRDefault="0059202B">
      <w:pPr>
        <w:spacing w:after="0" w:line="259" w:lineRule="auto"/>
        <w:ind w:left="0" w:firstLine="0"/>
      </w:pPr>
      <w:r>
        <w:tab/>
      </w:r>
      <w:r>
        <w:rPr>
          <w:rFonts w:ascii="Arial" w:eastAsia="Arial" w:hAnsi="Arial" w:cs="Arial"/>
        </w:rPr>
        <w:t xml:space="preserve"> </w:t>
      </w:r>
    </w:p>
    <w:p w14:paraId="77D4A21F" w14:textId="6EC27890" w:rsidR="008C3F1B" w:rsidRDefault="0059202B">
      <w:pPr>
        <w:pStyle w:val="Heading1"/>
        <w:ind w:left="-5" w:right="0"/>
      </w:pPr>
      <w:r>
        <w:t>Valuation</w:t>
      </w:r>
      <w:r>
        <w:rPr>
          <w:b w:val="0"/>
        </w:rPr>
        <w:t xml:space="preserve">  </w:t>
      </w:r>
    </w:p>
    <w:p w14:paraId="335C7114" w14:textId="3800FDA7" w:rsidR="005E5567" w:rsidRPr="005E5567" w:rsidRDefault="004B72AC" w:rsidP="005E5567">
      <w:pPr>
        <w:ind w:left="-5"/>
      </w:pPr>
      <w:r>
        <w:t xml:space="preserve">A Monte Carlo Valuation with 1 million simulated trials was created. </w:t>
      </w:r>
      <w:r w:rsidR="008C5A49">
        <w:t xml:space="preserve">The results of the simulation indicated a 66.2% chance of the stock increasing from its current price and an expected stock price of $125.14. In addition, we are 90% confident that the stock will land somewhere between $75 and </w:t>
      </w:r>
      <w:r w:rsidR="00015212">
        <w:t>$</w:t>
      </w:r>
      <w:r w:rsidR="008C5A49">
        <w:t>20</w:t>
      </w:r>
      <w:r w:rsidR="00015212">
        <w:t>8</w:t>
      </w:r>
      <w:r w:rsidR="008C5A49">
        <w:t xml:space="preserve"> a year from now.</w:t>
      </w:r>
    </w:p>
    <w:p w14:paraId="179AFB8B" w14:textId="77777777" w:rsidR="00A05783" w:rsidRDefault="00A05783" w:rsidP="00A05783">
      <w:pPr>
        <w:ind w:left="-5"/>
      </w:pPr>
    </w:p>
    <w:p w14:paraId="7C6AE2CE" w14:textId="1E64395F" w:rsidR="00A105AB" w:rsidRDefault="00B60E0A" w:rsidP="002652F4">
      <w:pPr>
        <w:ind w:left="-5"/>
      </w:pPr>
      <w:r>
        <w:t>A</w:t>
      </w:r>
      <w:r w:rsidR="00004F4F">
        <w:t xml:space="preserve"> 2-stage</w:t>
      </w:r>
      <w:r>
        <w:t xml:space="preserve"> FCFF</w:t>
      </w:r>
      <w:r w:rsidR="00621268">
        <w:t xml:space="preserve"> Valuation</w:t>
      </w:r>
      <w:r>
        <w:t xml:space="preserve"> </w:t>
      </w:r>
      <w:r w:rsidR="00621268">
        <w:t>gave an estimate of $176.00</w:t>
      </w:r>
      <w:r w:rsidR="008D1B0D">
        <w:t xml:space="preserve">. This is running under the assumption that oil prices will remain relatively constant into the future. </w:t>
      </w:r>
      <w:r w:rsidR="00F740B7">
        <w:t xml:space="preserve">A P/E Multiples model gave an estimate of </w:t>
      </w:r>
      <w:r w:rsidR="000B5471">
        <w:t xml:space="preserve">$128.00, using the peer group shown below. </w:t>
      </w:r>
      <w:r w:rsidR="00A05783">
        <w:t xml:space="preserve">By taking a </w:t>
      </w:r>
      <w:r w:rsidR="00001594">
        <w:t>34</w:t>
      </w:r>
      <w:r w:rsidR="002652F4">
        <w:t>/33/33</w:t>
      </w:r>
      <w:r w:rsidR="00001594">
        <w:t xml:space="preserve"> (Monte Carlo, FCFF, and P/E respectively)</w:t>
      </w:r>
      <w:r w:rsidR="00A05783">
        <w:t xml:space="preserve"> weighted sum-of-the-parts, we </w:t>
      </w:r>
      <w:r w:rsidR="00825830">
        <w:t>give a price targ</w:t>
      </w:r>
      <w:r w:rsidR="002652F4">
        <w:t>et</w:t>
      </w:r>
      <w:r w:rsidR="00001594">
        <w:t xml:space="preserve"> of $142.94.</w:t>
      </w:r>
    </w:p>
    <w:p w14:paraId="7810548D" w14:textId="77777777" w:rsidR="002652F4" w:rsidRDefault="002652F4" w:rsidP="002652F4">
      <w:pPr>
        <w:ind w:left="-5"/>
      </w:pPr>
    </w:p>
    <w:p w14:paraId="2B8BF12C" w14:textId="2CAF78AB" w:rsidR="008C3F1B" w:rsidRDefault="0059202B" w:rsidP="001901FE">
      <w:pPr>
        <w:pStyle w:val="Heading1"/>
        <w:ind w:left="-5" w:right="0"/>
      </w:pPr>
      <w:r>
        <w:t>Risks</w:t>
      </w:r>
    </w:p>
    <w:p w14:paraId="32AFF409" w14:textId="1550D7A1" w:rsidR="008C3F1B" w:rsidRDefault="00DF650F">
      <w:pPr>
        <w:ind w:left="-5" w:right="393"/>
      </w:pPr>
      <w:r>
        <w:rPr>
          <w:b/>
        </w:rPr>
        <w:t>Oil Price Volatility</w:t>
      </w:r>
      <w:r w:rsidR="0059202B">
        <w:rPr>
          <w:b/>
        </w:rPr>
        <w:t>:</w:t>
      </w:r>
      <w:r w:rsidR="00E5627E">
        <w:t xml:space="preserve"> Andeavor makes money when oil prices are </w:t>
      </w:r>
      <w:r w:rsidR="00B95317">
        <w:t>around $</w:t>
      </w:r>
      <w:r w:rsidR="00194A79">
        <w:t>5</w:t>
      </w:r>
      <w:r w:rsidR="00B95317">
        <w:t>0-$70</w:t>
      </w:r>
      <w:r w:rsidR="00194A79">
        <w:t>. If oil prices dip below this range and Andeavor has not forwar</w:t>
      </w:r>
      <w:r w:rsidR="005C4578">
        <w:t>d contracted this risk.</w:t>
      </w:r>
      <w:r w:rsidR="00E93A98">
        <w:t xml:space="preserve"> On the other hand, </w:t>
      </w:r>
      <w:r w:rsidR="00CE32F4">
        <w:t xml:space="preserve">if </w:t>
      </w:r>
      <w:r w:rsidR="0029624E">
        <w:t>Andeavor has all its future oil locked up in forward contracts, it will not become more profitable when oil prices become super favorable</w:t>
      </w:r>
      <w:r w:rsidR="0066759C">
        <w:t>.</w:t>
      </w:r>
      <w:r w:rsidR="005C4578">
        <w:t xml:space="preserve"> </w:t>
      </w:r>
      <w:r w:rsidR="005D7B98">
        <w:t xml:space="preserve">In addition, Andeavor does </w:t>
      </w:r>
      <w:r w:rsidR="006142C1">
        <w:t>about roughly 1/3 of its business in natural gas, which is slowly replacing oil.</w:t>
      </w:r>
      <w:r w:rsidR="00D466DA">
        <w:t xml:space="preserve"> Therefore, </w:t>
      </w:r>
      <w:r w:rsidR="007925A5">
        <w:t>Andeavor is positioned well given the current industry trends.</w:t>
      </w:r>
    </w:p>
    <w:p w14:paraId="2022974B" w14:textId="5A29C0DC" w:rsidR="0059202B" w:rsidRDefault="00F7556C">
      <w:pPr>
        <w:ind w:left="-5" w:right="117"/>
      </w:pPr>
      <w:r>
        <w:rPr>
          <w:b/>
        </w:rPr>
        <w:t>Supply and Demand Movement</w:t>
      </w:r>
      <w:r w:rsidR="0059202B">
        <w:rPr>
          <w:b/>
        </w:rPr>
        <w:t>:</w:t>
      </w:r>
      <w:r w:rsidR="0059202B">
        <w:t xml:space="preserve"> </w:t>
      </w:r>
      <w:r w:rsidR="00E83314">
        <w:t xml:space="preserve">Andeavor generates more revenue when </w:t>
      </w:r>
      <w:r w:rsidR="00726989">
        <w:t xml:space="preserve">the demand for oil is high </w:t>
      </w:r>
      <w:r w:rsidR="00936511">
        <w:t>and the cost to supply crude oil is low.</w:t>
      </w:r>
      <w:r w:rsidR="00DD4575">
        <w:t xml:space="preserve"> Therefore, </w:t>
      </w:r>
      <w:r w:rsidR="001F4E39">
        <w:t xml:space="preserve">if the cost to supply crude increases or demand </w:t>
      </w:r>
      <w:r w:rsidR="00231573">
        <w:t>decreases dramatically</w:t>
      </w:r>
      <w:r w:rsidR="00053C2B">
        <w:t>, Andeavor will generate significantly less revenue.</w:t>
      </w:r>
      <w:r w:rsidR="00E5627E">
        <w:t xml:space="preserve"> </w:t>
      </w:r>
    </w:p>
    <w:p w14:paraId="2331C8F3" w14:textId="4C3D68A8" w:rsidR="008C3F1B" w:rsidRDefault="00506B43">
      <w:pPr>
        <w:ind w:left="-5" w:right="117"/>
      </w:pPr>
      <w:r>
        <w:rPr>
          <w:b/>
        </w:rPr>
        <w:t xml:space="preserve">Rapid </w:t>
      </w:r>
      <w:r w:rsidR="0059202B">
        <w:rPr>
          <w:b/>
        </w:rPr>
        <w:t>Change</w:t>
      </w:r>
      <w:r>
        <w:rPr>
          <w:b/>
        </w:rPr>
        <w:t>s</w:t>
      </w:r>
      <w:r w:rsidR="0059202B">
        <w:rPr>
          <w:b/>
        </w:rPr>
        <w:t xml:space="preserve"> in </w:t>
      </w:r>
      <w:r w:rsidR="00DD4575">
        <w:rPr>
          <w:b/>
        </w:rPr>
        <w:t>T</w:t>
      </w:r>
      <w:r w:rsidR="0059202B">
        <w:rPr>
          <w:b/>
        </w:rPr>
        <w:t xml:space="preserve">echnology: </w:t>
      </w:r>
      <w:r>
        <w:t xml:space="preserve">If a highly </w:t>
      </w:r>
      <w:r w:rsidR="0003559E">
        <w:t xml:space="preserve">cost effective </w:t>
      </w:r>
      <w:r w:rsidR="00CE3C9A">
        <w:t>non-gasoline powered car came into popula</w:t>
      </w:r>
      <w:r w:rsidR="00252A3D">
        <w:t xml:space="preserve">r demand, this would </w:t>
      </w:r>
      <w:r w:rsidR="001C69BB">
        <w:t xml:space="preserve">significantly </w:t>
      </w:r>
      <w:r w:rsidR="003101FE">
        <w:t xml:space="preserve">decrease oil demand and thus </w:t>
      </w:r>
      <w:r w:rsidR="00082088">
        <w:t>decrease Andeavor’s profits</w:t>
      </w:r>
      <w:r w:rsidR="00DD4575">
        <w:t>.</w:t>
      </w:r>
      <w:r w:rsidR="005C4578">
        <w:t xml:space="preserve"> However, many forecasts see an increase </w:t>
      </w:r>
      <w:r w:rsidR="00FB296B">
        <w:t>oil consumption until 2022</w:t>
      </w:r>
      <w:r w:rsidR="00E32A45">
        <w:t>, followed by a decrease</w:t>
      </w:r>
      <w:r w:rsidR="00D41B29">
        <w:t xml:space="preserve">. </w:t>
      </w:r>
      <w:r w:rsidR="00487459">
        <w:t>We see</w:t>
      </w:r>
      <w:r w:rsidR="00AB2F30">
        <w:t xml:space="preserve"> </w:t>
      </w:r>
      <w:r w:rsidR="00CE6DF3">
        <w:t>increasing demand</w:t>
      </w:r>
      <w:r w:rsidR="00AB2F30">
        <w:t xml:space="preserve"> as well as no new additions to supply</w:t>
      </w:r>
      <w:r w:rsidR="00E71D05">
        <w:t xml:space="preserve"> as super favorable conditions in the industry in the next </w:t>
      </w:r>
      <w:r w:rsidR="00E93A98">
        <w:t>5 years.</w:t>
      </w:r>
    </w:p>
    <w:p w14:paraId="47F6D749" w14:textId="77777777" w:rsidR="008C3F1B" w:rsidRDefault="0059202B">
      <w:pPr>
        <w:spacing w:after="17" w:line="259" w:lineRule="auto"/>
        <w:ind w:left="0" w:firstLine="0"/>
      </w:pPr>
      <w:r>
        <w:t xml:space="preserve"> </w:t>
      </w:r>
      <w:r>
        <w:rPr>
          <w:rFonts w:ascii="Arial" w:eastAsia="Arial" w:hAnsi="Arial" w:cs="Arial"/>
        </w:rPr>
        <w:t xml:space="preserve"> </w:t>
      </w:r>
    </w:p>
    <w:p w14:paraId="2B9C2CF5" w14:textId="1BA95688" w:rsidR="00CE3D24" w:rsidRPr="001901FE" w:rsidRDefault="0059202B" w:rsidP="001901FE">
      <w:pPr>
        <w:pStyle w:val="Heading1"/>
        <w:ind w:left="-180" w:right="0" w:firstLine="165"/>
        <w:rPr>
          <w:rFonts w:ascii="Arial" w:eastAsia="Arial" w:hAnsi="Arial" w:cs="Arial"/>
          <w:b w:val="0"/>
        </w:rPr>
      </w:pPr>
      <w:r>
        <w:t>Management</w:t>
      </w:r>
      <w:r>
        <w:rPr>
          <w:b w:val="0"/>
        </w:rPr>
        <w:t xml:space="preserve"> </w:t>
      </w:r>
      <w:r>
        <w:rPr>
          <w:rFonts w:ascii="Arial" w:eastAsia="Arial" w:hAnsi="Arial" w:cs="Arial"/>
          <w:b w:val="0"/>
        </w:rPr>
        <w:t xml:space="preserve"> </w:t>
      </w:r>
    </w:p>
    <w:p w14:paraId="0DB6F457" w14:textId="38B9761C" w:rsidR="00CE3D24" w:rsidRPr="00CE3D24" w:rsidRDefault="00CE3D24" w:rsidP="00CE3D24">
      <w:r>
        <w:t xml:space="preserve">We believe that the management team </w:t>
      </w:r>
      <w:r w:rsidR="000C11F3">
        <w:t xml:space="preserve">at Andeavor is top class. All members of management have made their careers in energy, and many of them have been with the company for </w:t>
      </w:r>
      <w:r w:rsidR="002100F0">
        <w:t xml:space="preserve">a very long time. </w:t>
      </w:r>
      <w:r w:rsidR="00D209B8">
        <w:t xml:space="preserve">Many come from ConocoPhillips, a large energy company that maintains a healthy trade relationship with Andeavor. </w:t>
      </w:r>
      <w:r w:rsidR="002100F0">
        <w:t>Compen</w:t>
      </w:r>
      <w:r w:rsidR="00D209B8">
        <w:t>s</w:t>
      </w:r>
      <w:r w:rsidR="002100F0">
        <w:t xml:space="preserve">ation is excellent, and has scaled with tenure, and </w:t>
      </w:r>
      <w:r w:rsidR="008C65CB">
        <w:t>performance.</w:t>
      </w:r>
      <w:r w:rsidR="008C65CB">
        <w:t xml:space="preserve"> </w:t>
      </w:r>
      <w:r w:rsidR="0091489B">
        <w:t xml:space="preserve">This management has much to do with our optimism toward future profits. </w:t>
      </w:r>
      <w:r w:rsidR="00F931F8">
        <w:t>One possibl</w:t>
      </w:r>
      <w:r w:rsidR="00683893">
        <w:t>e</w:t>
      </w:r>
      <w:r w:rsidR="00F931F8">
        <w:t xml:space="preserve"> issue of the team however is its age. The average age of the management team is 66. Because of th</w:t>
      </w:r>
      <w:r w:rsidR="000628D2">
        <w:t>is, there may be an issue of turnover at some</w:t>
      </w:r>
      <w:r w:rsidR="00070F75">
        <w:t xml:space="preserve"> </w:t>
      </w:r>
      <w:r w:rsidR="000628D2">
        <w:t>point in the future. For our investment purposes, we do not see this as a concern</w:t>
      </w:r>
      <w:r w:rsidR="008C1EDF">
        <w:t xml:space="preserve">, as we do not see this happening within the next two years. </w:t>
      </w:r>
    </w:p>
    <w:p w14:paraId="513D1C2D" w14:textId="77777777" w:rsidR="00FF5F9A" w:rsidRPr="00FF5F9A" w:rsidRDefault="00FF5F9A" w:rsidP="00FF5F9A"/>
    <w:p w14:paraId="546E77D1" w14:textId="04796C95" w:rsidR="008E61F9" w:rsidRDefault="005C51A7" w:rsidP="00ED2BDF">
      <w:r>
        <w:lastRenderedPageBreak/>
        <w:t>Gregory J. Goff</w:t>
      </w:r>
      <w:r w:rsidR="00E004B5">
        <w:t xml:space="preserve">- </w:t>
      </w:r>
      <w:r w:rsidR="00596C1E">
        <w:t xml:space="preserve">President, </w:t>
      </w:r>
      <w:r w:rsidR="00E004B5">
        <w:t xml:space="preserve">CEO, </w:t>
      </w:r>
      <w:r w:rsidR="00596C1E">
        <w:t>and</w:t>
      </w:r>
      <w:r w:rsidR="00E004B5">
        <w:t xml:space="preserve"> Chairman of the Board: </w:t>
      </w:r>
      <w:r w:rsidR="00E95410">
        <w:t xml:space="preserve">Goff </w:t>
      </w:r>
      <w:r w:rsidR="00FA3752">
        <w:t>has been</w:t>
      </w:r>
      <w:r w:rsidR="00E95410">
        <w:t xml:space="preserve"> the </w:t>
      </w:r>
      <w:r w:rsidR="00FA3752">
        <w:t>Chairman since 2014, and the President and CEO since 2010. He has spent his entire career in the energy industry and knows it in and out.</w:t>
      </w:r>
      <w:r w:rsidR="00E95410">
        <w:t xml:space="preserve"> </w:t>
      </w:r>
      <w:r w:rsidR="00732D14">
        <w:t xml:space="preserve">Before holding his positions at Andeavor, he was part of senior management at ConocoPhillips, </w:t>
      </w:r>
      <w:r w:rsidR="009B74E9">
        <w:t xml:space="preserve">an integrated energy company which happens to be a supplier, and customer of Andeavor. </w:t>
      </w:r>
      <w:r w:rsidR="004125B6">
        <w:t>He currently holds 612,657 shares of Andeavor</w:t>
      </w:r>
      <w:r w:rsidR="00CC346B">
        <w:t>, with options for an additional 44,570 shares</w:t>
      </w:r>
      <w:r w:rsidR="004125B6">
        <w:t xml:space="preserve">. </w:t>
      </w:r>
    </w:p>
    <w:p w14:paraId="16522FD2" w14:textId="2968CE5D" w:rsidR="00620DAE" w:rsidRDefault="00620DAE" w:rsidP="00027292">
      <w:pPr>
        <w:ind w:left="0" w:firstLine="0"/>
      </w:pPr>
    </w:p>
    <w:p w14:paraId="2A493267" w14:textId="036DB724" w:rsidR="00227442" w:rsidRPr="00EC21DA" w:rsidRDefault="00227442" w:rsidP="00227442">
      <w:pPr>
        <w:pStyle w:val="Heading4"/>
        <w:rPr>
          <w:rFonts w:ascii="Calibri" w:eastAsia="Calibri" w:hAnsi="Calibri" w:cs="Calibri"/>
          <w:i w:val="0"/>
          <w:iCs w:val="0"/>
          <w:color w:val="000000"/>
        </w:rPr>
      </w:pPr>
      <w:r w:rsidRPr="00227442">
        <w:rPr>
          <w:rFonts w:ascii="Calibri" w:eastAsia="Calibri" w:hAnsi="Calibri" w:cs="Calibri"/>
          <w:i w:val="0"/>
          <w:iCs w:val="0"/>
          <w:color w:val="000000"/>
        </w:rPr>
        <w:t>Steven Sterin</w:t>
      </w:r>
      <w:r w:rsidR="00D91336">
        <w:rPr>
          <w:rFonts w:ascii="Calibri" w:eastAsia="Calibri" w:hAnsi="Calibri" w:cs="Calibri"/>
          <w:i w:val="0"/>
          <w:iCs w:val="0"/>
          <w:color w:val="000000"/>
        </w:rPr>
        <w:t xml:space="preserve"> </w:t>
      </w:r>
      <w:r>
        <w:rPr>
          <w:rFonts w:ascii="Calibri" w:eastAsia="Calibri" w:hAnsi="Calibri" w:cs="Calibri"/>
          <w:i w:val="0"/>
          <w:iCs w:val="0"/>
          <w:color w:val="000000"/>
        </w:rPr>
        <w:t>-</w:t>
      </w:r>
      <w:r w:rsidR="009C4E6C" w:rsidRPr="009C4E6C">
        <w:rPr>
          <w:rFonts w:ascii="Calibri" w:eastAsia="Calibri" w:hAnsi="Calibri" w:cs="Calibri"/>
          <w:i w:val="0"/>
          <w:iCs w:val="0"/>
          <w:color w:val="000000"/>
        </w:rPr>
        <w:t xml:space="preserve"> Executive Vice President and Chief Financial Officer for Andeavor. He is also President, Chief Financial Officer and a member of the Board of Directors for Andeavor Logistics GP, LLC</w:t>
      </w:r>
      <w:r w:rsidR="009C4E6C" w:rsidRPr="00742AA5">
        <w:rPr>
          <w:rFonts w:ascii="Calibri" w:eastAsia="Calibri" w:hAnsi="Calibri" w:cs="Calibri"/>
          <w:i w:val="0"/>
          <w:iCs w:val="0"/>
          <w:color w:val="000000"/>
        </w:rPr>
        <w:t>.</w:t>
      </w:r>
      <w:r w:rsidR="00742AA5" w:rsidRPr="00742AA5">
        <w:rPr>
          <w:rFonts w:ascii="Calibri" w:eastAsia="Calibri" w:hAnsi="Calibri" w:cs="Calibri"/>
          <w:i w:val="0"/>
          <w:iCs w:val="0"/>
          <w:color w:val="000000"/>
        </w:rPr>
        <w:t> </w:t>
      </w:r>
      <w:r w:rsidR="00742AA5">
        <w:rPr>
          <w:rFonts w:ascii="Calibri" w:eastAsia="Calibri" w:hAnsi="Calibri" w:cs="Calibri"/>
          <w:i w:val="0"/>
          <w:iCs w:val="0"/>
          <w:color w:val="000000"/>
        </w:rPr>
        <w:t xml:space="preserve">He </w:t>
      </w:r>
      <w:r w:rsidR="00742AA5" w:rsidRPr="00742AA5">
        <w:rPr>
          <w:rFonts w:ascii="Calibri" w:eastAsia="Calibri" w:hAnsi="Calibri" w:cs="Calibri"/>
          <w:i w:val="0"/>
          <w:iCs w:val="0"/>
          <w:color w:val="000000"/>
        </w:rPr>
        <w:t>joined Andeavor in 2014, bringing nearly 20 years of financial leadership to his role. As EVP and Chief Financial Officer, Mr. Sterin has over 10 years of large public company CFO experience</w:t>
      </w:r>
      <w:r w:rsidR="00C94A62">
        <w:rPr>
          <w:rFonts w:ascii="Calibri" w:eastAsia="Calibri" w:hAnsi="Calibri" w:cs="Calibri"/>
          <w:i w:val="0"/>
          <w:iCs w:val="0"/>
          <w:color w:val="000000"/>
        </w:rPr>
        <w:t>.</w:t>
      </w:r>
    </w:p>
    <w:p w14:paraId="3D4A2D0A" w14:textId="1BAD75D6" w:rsidR="00040B45" w:rsidRPr="00EC21DA" w:rsidRDefault="00040B45" w:rsidP="00227442">
      <w:pPr>
        <w:pStyle w:val="Heading4"/>
        <w:rPr>
          <w:rFonts w:ascii="Calibri" w:eastAsia="Calibri" w:hAnsi="Calibri" w:cs="Calibri"/>
          <w:i w:val="0"/>
          <w:iCs w:val="0"/>
          <w:color w:val="000000"/>
        </w:rPr>
      </w:pPr>
    </w:p>
    <w:p w14:paraId="2BF10F66" w14:textId="6B943571" w:rsidR="00EC21DA" w:rsidRPr="00737ADB" w:rsidRDefault="00DE7870" w:rsidP="00EC21DA">
      <w:r w:rsidRPr="00633F45">
        <w:t>Michael J.</w:t>
      </w:r>
      <w:r w:rsidRPr="0052603B">
        <w:rPr>
          <w:i/>
          <w:iCs/>
        </w:rPr>
        <w:t> </w:t>
      </w:r>
      <w:r w:rsidRPr="00633F45">
        <w:t>Morrison</w:t>
      </w:r>
      <w:r w:rsidR="00EC21DA" w:rsidRPr="00633F45">
        <w:t xml:space="preserve"> - </w:t>
      </w:r>
      <w:r w:rsidR="00EC21DA" w:rsidRPr="0052603B">
        <w:t xml:space="preserve">Senior Vice President, Marketing for Andeavor. </w:t>
      </w:r>
      <w:r w:rsidR="003C482D">
        <w:t>He</w:t>
      </w:r>
      <w:r w:rsidR="00EC21DA" w:rsidRPr="0052603B">
        <w:t xml:space="preserve"> joined Andeavor in 2016, bringing more than 30 years of experience in the downstream business to his role. Prior to Andeavor, He was the Global Crude Oil Trading Lead and Lead Executive for the London office of Phillips66. He has also held several leadership positions within marketing, strategy, commercial supply and trading logistics, optimization and specialty products at Conoco, ConocoPhillips</w:t>
      </w:r>
      <w:r w:rsidR="00B313A6">
        <w:t>,</w:t>
      </w:r>
      <w:bookmarkStart w:id="0" w:name="_GoBack"/>
      <w:bookmarkEnd w:id="0"/>
      <w:r w:rsidR="00EC21DA" w:rsidRPr="0052603B">
        <w:t xml:space="preserve"> and Phillips66. </w:t>
      </w:r>
    </w:p>
    <w:p w14:paraId="05AF7052" w14:textId="621C0A21" w:rsidR="00DE7870" w:rsidRPr="0052603B" w:rsidRDefault="00DE7870" w:rsidP="00DE7870">
      <w:pPr>
        <w:pStyle w:val="Heading4"/>
        <w:rPr>
          <w:rFonts w:ascii="Calibri" w:eastAsia="Calibri" w:hAnsi="Calibri" w:cs="Calibri"/>
          <w:i w:val="0"/>
          <w:iCs w:val="0"/>
          <w:color w:val="000000"/>
        </w:rPr>
      </w:pPr>
    </w:p>
    <w:p w14:paraId="13AA2ABA" w14:textId="5F9659BA" w:rsidR="00027292" w:rsidRPr="005A5E08" w:rsidRDefault="005A5E08" w:rsidP="00027292">
      <w:pPr>
        <w:ind w:left="0" w:firstLine="0"/>
        <w:rPr>
          <w:b/>
        </w:rPr>
      </w:pPr>
      <w:r>
        <w:rPr>
          <w:b/>
        </w:rPr>
        <w:t>1 Y</w:t>
      </w:r>
      <w:r w:rsidR="0021767C">
        <w:rPr>
          <w:b/>
        </w:rPr>
        <w:t>ea</w:t>
      </w:r>
      <w:r>
        <w:rPr>
          <w:b/>
        </w:rPr>
        <w:t>r</w:t>
      </w:r>
      <w:r w:rsidR="002D3B1B">
        <w:rPr>
          <w:b/>
        </w:rPr>
        <w:t xml:space="preserve"> Stock Chart</w:t>
      </w:r>
    </w:p>
    <w:p w14:paraId="4C1CDA74" w14:textId="77777777" w:rsidR="00027292" w:rsidRDefault="00027292" w:rsidP="00027292">
      <w:pPr>
        <w:ind w:left="-180" w:firstLine="0"/>
      </w:pPr>
    </w:p>
    <w:p w14:paraId="0B467839" w14:textId="780F85E8" w:rsidR="00ED2BDF" w:rsidRDefault="00027292" w:rsidP="00C23957">
      <w:pPr>
        <w:ind w:left="0" w:hanging="180"/>
        <w:rPr>
          <w:b/>
        </w:rPr>
      </w:pPr>
      <w:r>
        <w:rPr>
          <w:noProof/>
        </w:rPr>
        <w:drawing>
          <wp:inline distT="0" distB="0" distL="0" distR="0" wp14:anchorId="09D6E361" wp14:editId="766AB38E">
            <wp:extent cx="6648448" cy="1571625"/>
            <wp:effectExtent l="19050" t="19050" r="1968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dvchart.PNG"/>
                    <pic:cNvPicPr/>
                  </pic:nvPicPr>
                  <pic:blipFill>
                    <a:blip r:embed="rId7">
                      <a:extLst>
                        <a:ext uri="{28A0092B-C50C-407E-A947-70E740481C1C}">
                          <a14:useLocalDpi xmlns:a14="http://schemas.microsoft.com/office/drawing/2010/main" val="0"/>
                        </a:ext>
                      </a:extLst>
                    </a:blip>
                    <a:stretch>
                      <a:fillRect/>
                    </a:stretch>
                  </pic:blipFill>
                  <pic:spPr>
                    <a:xfrm>
                      <a:off x="0" y="0"/>
                      <a:ext cx="6662869" cy="1575034"/>
                    </a:xfrm>
                    <a:prstGeom prst="rect">
                      <a:avLst/>
                    </a:prstGeom>
                    <a:ln>
                      <a:solidFill>
                        <a:schemeClr val="tx1"/>
                      </a:solidFill>
                    </a:ln>
                  </pic:spPr>
                </pic:pic>
              </a:graphicData>
            </a:graphic>
          </wp:inline>
        </w:drawing>
      </w:r>
      <w:r w:rsidR="000F5058" w:rsidRPr="000F5058">
        <w:rPr>
          <w:b/>
        </w:rPr>
        <w:t>Peer Comparison</w:t>
      </w:r>
    </w:p>
    <w:p w14:paraId="7146C1C4" w14:textId="77777777" w:rsidR="00A4592A" w:rsidRDefault="00A4592A" w:rsidP="00C23957">
      <w:pPr>
        <w:ind w:left="0" w:hanging="180"/>
      </w:pPr>
    </w:p>
    <w:tbl>
      <w:tblPr>
        <w:tblStyle w:val="TableGrid"/>
        <w:tblW w:w="10156" w:type="dxa"/>
        <w:tblInd w:w="-180" w:type="dxa"/>
        <w:tblCellMar>
          <w:top w:w="27" w:type="dxa"/>
          <w:bottom w:w="6" w:type="dxa"/>
          <w:right w:w="58" w:type="dxa"/>
        </w:tblCellMar>
        <w:tblLook w:val="04A0" w:firstRow="1" w:lastRow="0" w:firstColumn="1" w:lastColumn="0" w:noHBand="0" w:noVBand="1"/>
      </w:tblPr>
      <w:tblGrid>
        <w:gridCol w:w="1828"/>
        <w:gridCol w:w="1887"/>
        <w:gridCol w:w="1584"/>
        <w:gridCol w:w="1435"/>
        <w:gridCol w:w="881"/>
        <w:gridCol w:w="1610"/>
        <w:gridCol w:w="931"/>
      </w:tblGrid>
      <w:tr w:rsidR="008C3F1B" w14:paraId="203AA1EC" w14:textId="77777777" w:rsidTr="00CD02E5">
        <w:trPr>
          <w:trHeight w:val="569"/>
        </w:trPr>
        <w:tc>
          <w:tcPr>
            <w:tcW w:w="1828" w:type="dxa"/>
            <w:tcBorders>
              <w:top w:val="single" w:sz="4" w:space="0" w:color="000000"/>
              <w:left w:val="single" w:sz="4" w:space="0" w:color="000000"/>
              <w:bottom w:val="single" w:sz="4" w:space="0" w:color="000000"/>
              <w:right w:val="nil"/>
            </w:tcBorders>
            <w:vAlign w:val="bottom"/>
          </w:tcPr>
          <w:p w14:paraId="6A01449B" w14:textId="77777777" w:rsidR="008C3F1B" w:rsidRDefault="0059202B">
            <w:pPr>
              <w:spacing w:after="0" w:line="259" w:lineRule="auto"/>
              <w:ind w:left="557" w:firstLine="0"/>
              <w:jc w:val="center"/>
            </w:pPr>
            <w:r>
              <w:t xml:space="preserve">Name </w:t>
            </w:r>
          </w:p>
        </w:tc>
        <w:tc>
          <w:tcPr>
            <w:tcW w:w="1887" w:type="dxa"/>
            <w:tcBorders>
              <w:top w:val="single" w:sz="4" w:space="0" w:color="000000"/>
              <w:left w:val="nil"/>
              <w:bottom w:val="single" w:sz="4" w:space="0" w:color="000000"/>
              <w:right w:val="nil"/>
            </w:tcBorders>
            <w:vAlign w:val="bottom"/>
          </w:tcPr>
          <w:p w14:paraId="4DB1ECC9" w14:textId="07A97CE0" w:rsidR="008C3F1B" w:rsidRDefault="0099017D" w:rsidP="0099017D">
            <w:pPr>
              <w:spacing w:after="0" w:line="259" w:lineRule="auto"/>
              <w:ind w:left="392" w:firstLine="0"/>
            </w:pPr>
            <w:r>
              <w:t xml:space="preserve">    </w:t>
            </w:r>
            <w:r w:rsidR="0059202B">
              <w:t xml:space="preserve">Ticker </w:t>
            </w:r>
          </w:p>
        </w:tc>
        <w:tc>
          <w:tcPr>
            <w:tcW w:w="1584" w:type="dxa"/>
            <w:tcBorders>
              <w:top w:val="single" w:sz="4" w:space="0" w:color="000000"/>
              <w:left w:val="nil"/>
              <w:bottom w:val="single" w:sz="4" w:space="0" w:color="000000"/>
              <w:right w:val="nil"/>
            </w:tcBorders>
          </w:tcPr>
          <w:p w14:paraId="3DD5CC3D" w14:textId="77777777" w:rsidR="008C3F1B" w:rsidRDefault="0059202B">
            <w:pPr>
              <w:spacing w:after="0" w:line="259" w:lineRule="auto"/>
              <w:ind w:left="0" w:firstLine="0"/>
            </w:pPr>
            <w:r>
              <w:t xml:space="preserve">Market Cap </w:t>
            </w:r>
          </w:p>
          <w:p w14:paraId="4E09053E" w14:textId="77777777" w:rsidR="008C3F1B" w:rsidRDefault="0059202B">
            <w:pPr>
              <w:spacing w:after="0" w:line="259" w:lineRule="auto"/>
              <w:ind w:left="211" w:firstLine="0"/>
              <w:jc w:val="center"/>
            </w:pPr>
            <w:r>
              <w:t xml:space="preserve">(bil) </w:t>
            </w:r>
          </w:p>
        </w:tc>
        <w:tc>
          <w:tcPr>
            <w:tcW w:w="1435" w:type="dxa"/>
            <w:tcBorders>
              <w:top w:val="single" w:sz="4" w:space="0" w:color="000000"/>
              <w:left w:val="nil"/>
              <w:bottom w:val="single" w:sz="4" w:space="0" w:color="000000"/>
              <w:right w:val="nil"/>
            </w:tcBorders>
          </w:tcPr>
          <w:p w14:paraId="62C10F30" w14:textId="77777777" w:rsidR="00D15B09" w:rsidRDefault="00D15B09">
            <w:pPr>
              <w:spacing w:after="0" w:line="259" w:lineRule="auto"/>
              <w:ind w:left="370" w:right="35" w:hanging="370"/>
            </w:pPr>
          </w:p>
          <w:p w14:paraId="4B1B077F" w14:textId="428AD2AD" w:rsidR="008C3F1B" w:rsidRDefault="0059202B">
            <w:pPr>
              <w:spacing w:after="0" w:line="259" w:lineRule="auto"/>
              <w:ind w:left="370" w:right="35" w:hanging="370"/>
            </w:pPr>
            <w:r>
              <w:t xml:space="preserve">Revenue(mil) </w:t>
            </w:r>
          </w:p>
        </w:tc>
        <w:tc>
          <w:tcPr>
            <w:tcW w:w="881" w:type="dxa"/>
            <w:tcBorders>
              <w:top w:val="single" w:sz="4" w:space="0" w:color="000000"/>
              <w:left w:val="nil"/>
              <w:bottom w:val="single" w:sz="4" w:space="0" w:color="000000"/>
              <w:right w:val="nil"/>
            </w:tcBorders>
            <w:vAlign w:val="bottom"/>
          </w:tcPr>
          <w:p w14:paraId="66FB6328" w14:textId="77777777" w:rsidR="008C3F1B" w:rsidRDefault="0059202B">
            <w:pPr>
              <w:spacing w:after="0" w:line="259" w:lineRule="auto"/>
              <w:ind w:left="12" w:firstLine="0"/>
            </w:pPr>
            <w:r>
              <w:t xml:space="preserve">EBITDA </w:t>
            </w:r>
          </w:p>
        </w:tc>
        <w:tc>
          <w:tcPr>
            <w:tcW w:w="1610" w:type="dxa"/>
            <w:tcBorders>
              <w:top w:val="single" w:sz="4" w:space="0" w:color="000000"/>
              <w:left w:val="nil"/>
              <w:bottom w:val="single" w:sz="4" w:space="0" w:color="000000"/>
              <w:right w:val="nil"/>
            </w:tcBorders>
            <w:vAlign w:val="bottom"/>
          </w:tcPr>
          <w:p w14:paraId="5517F56F" w14:textId="637746E0" w:rsidR="008C3F1B" w:rsidRDefault="004A1A4F">
            <w:pPr>
              <w:spacing w:after="0" w:line="259" w:lineRule="auto"/>
              <w:ind w:left="144" w:firstLine="0"/>
            </w:pPr>
            <w:r>
              <w:t xml:space="preserve">         </w:t>
            </w:r>
            <w:r w:rsidR="0099017D">
              <w:t xml:space="preserve"> </w:t>
            </w:r>
            <w:r>
              <w:t xml:space="preserve"> P/E</w:t>
            </w:r>
          </w:p>
        </w:tc>
        <w:tc>
          <w:tcPr>
            <w:tcW w:w="931" w:type="dxa"/>
            <w:tcBorders>
              <w:top w:val="single" w:sz="4" w:space="0" w:color="000000"/>
              <w:left w:val="nil"/>
              <w:bottom w:val="single" w:sz="4" w:space="0" w:color="000000"/>
              <w:right w:val="single" w:sz="4" w:space="0" w:color="000000"/>
            </w:tcBorders>
          </w:tcPr>
          <w:p w14:paraId="132F7F7D" w14:textId="77777777" w:rsidR="008C3F1B" w:rsidRDefault="0059202B">
            <w:pPr>
              <w:spacing w:after="0" w:line="259" w:lineRule="auto"/>
              <w:ind w:left="0" w:right="49" w:firstLine="0"/>
              <w:jc w:val="right"/>
            </w:pPr>
            <w:r>
              <w:t xml:space="preserve">Dividend Yield </w:t>
            </w:r>
          </w:p>
        </w:tc>
      </w:tr>
      <w:tr w:rsidR="008C3F1B" w14:paraId="3244611C" w14:textId="77777777" w:rsidTr="00CD02E5">
        <w:trPr>
          <w:trHeight w:val="290"/>
        </w:trPr>
        <w:tc>
          <w:tcPr>
            <w:tcW w:w="1828" w:type="dxa"/>
            <w:tcBorders>
              <w:top w:val="single" w:sz="4" w:space="0" w:color="000000"/>
              <w:left w:val="single" w:sz="4" w:space="0" w:color="000000"/>
              <w:bottom w:val="single" w:sz="4" w:space="0" w:color="000000"/>
              <w:right w:val="nil"/>
            </w:tcBorders>
          </w:tcPr>
          <w:p w14:paraId="0462A777" w14:textId="336C051C" w:rsidR="008C3F1B" w:rsidRDefault="000F7017" w:rsidP="009724AD">
            <w:pPr>
              <w:spacing w:after="0" w:line="259" w:lineRule="auto"/>
            </w:pPr>
            <w:r>
              <w:t>Andeavor</w:t>
            </w:r>
          </w:p>
        </w:tc>
        <w:tc>
          <w:tcPr>
            <w:tcW w:w="1887" w:type="dxa"/>
            <w:tcBorders>
              <w:top w:val="single" w:sz="4" w:space="0" w:color="000000"/>
              <w:left w:val="nil"/>
              <w:bottom w:val="single" w:sz="4" w:space="0" w:color="000000"/>
              <w:right w:val="nil"/>
            </w:tcBorders>
          </w:tcPr>
          <w:p w14:paraId="57BF33B5" w14:textId="580FCBD3" w:rsidR="008C3F1B" w:rsidRDefault="000F7017">
            <w:pPr>
              <w:spacing w:after="0" w:line="259" w:lineRule="auto"/>
              <w:ind w:left="608" w:firstLine="0"/>
            </w:pPr>
            <w:r>
              <w:t>ANDV</w:t>
            </w:r>
          </w:p>
        </w:tc>
        <w:tc>
          <w:tcPr>
            <w:tcW w:w="1584" w:type="dxa"/>
            <w:tcBorders>
              <w:top w:val="single" w:sz="4" w:space="0" w:color="000000"/>
              <w:left w:val="nil"/>
              <w:bottom w:val="single" w:sz="4" w:space="0" w:color="000000"/>
              <w:right w:val="nil"/>
            </w:tcBorders>
          </w:tcPr>
          <w:p w14:paraId="5D2F786D" w14:textId="245E259E" w:rsidR="008C3F1B" w:rsidRDefault="00DA7AA1">
            <w:pPr>
              <w:spacing w:after="0" w:line="259" w:lineRule="auto"/>
              <w:ind w:left="0" w:right="49" w:firstLine="0"/>
              <w:jc w:val="center"/>
            </w:pPr>
            <w:r>
              <w:t>16.87</w:t>
            </w:r>
          </w:p>
        </w:tc>
        <w:tc>
          <w:tcPr>
            <w:tcW w:w="1435" w:type="dxa"/>
            <w:tcBorders>
              <w:top w:val="single" w:sz="4" w:space="0" w:color="000000"/>
              <w:left w:val="nil"/>
              <w:bottom w:val="single" w:sz="4" w:space="0" w:color="000000"/>
              <w:right w:val="nil"/>
            </w:tcBorders>
          </w:tcPr>
          <w:p w14:paraId="012BC6FE" w14:textId="0ED82CD3" w:rsidR="008C3F1B" w:rsidRDefault="00DA7AA1">
            <w:pPr>
              <w:spacing w:after="0" w:line="259" w:lineRule="auto"/>
              <w:ind w:left="115" w:firstLine="0"/>
            </w:pPr>
            <w:r>
              <w:t xml:space="preserve"> 34,975</w:t>
            </w:r>
          </w:p>
        </w:tc>
        <w:tc>
          <w:tcPr>
            <w:tcW w:w="881" w:type="dxa"/>
            <w:tcBorders>
              <w:top w:val="single" w:sz="4" w:space="0" w:color="000000"/>
              <w:left w:val="nil"/>
              <w:bottom w:val="single" w:sz="4" w:space="0" w:color="000000"/>
              <w:right w:val="nil"/>
            </w:tcBorders>
          </w:tcPr>
          <w:p w14:paraId="077DA624" w14:textId="5AF2E86B" w:rsidR="008C3F1B" w:rsidRDefault="001D4050">
            <w:pPr>
              <w:spacing w:after="0" w:line="259" w:lineRule="auto"/>
              <w:ind w:left="0" w:firstLine="0"/>
            </w:pPr>
            <w:r>
              <w:t xml:space="preserve"> </w:t>
            </w:r>
            <w:r w:rsidR="00235734">
              <w:t>2,546</w:t>
            </w:r>
          </w:p>
        </w:tc>
        <w:tc>
          <w:tcPr>
            <w:tcW w:w="1610" w:type="dxa"/>
            <w:tcBorders>
              <w:top w:val="single" w:sz="4" w:space="0" w:color="000000"/>
              <w:left w:val="nil"/>
              <w:bottom w:val="single" w:sz="4" w:space="0" w:color="000000"/>
              <w:right w:val="nil"/>
            </w:tcBorders>
          </w:tcPr>
          <w:p w14:paraId="7A5B5877" w14:textId="1B6DCC8F" w:rsidR="008C3F1B" w:rsidRDefault="007E6C8F">
            <w:pPr>
              <w:spacing w:after="0" w:line="259" w:lineRule="auto"/>
              <w:ind w:left="174" w:firstLine="0"/>
              <w:jc w:val="center"/>
            </w:pPr>
            <w:r>
              <w:t>9.9</w:t>
            </w:r>
          </w:p>
        </w:tc>
        <w:tc>
          <w:tcPr>
            <w:tcW w:w="931" w:type="dxa"/>
            <w:tcBorders>
              <w:top w:val="single" w:sz="4" w:space="0" w:color="000000"/>
              <w:left w:val="nil"/>
              <w:bottom w:val="single" w:sz="4" w:space="0" w:color="000000"/>
              <w:right w:val="single" w:sz="4" w:space="0" w:color="000000"/>
            </w:tcBorders>
          </w:tcPr>
          <w:p w14:paraId="1D5DCB13" w14:textId="48F4D274" w:rsidR="008C3F1B" w:rsidRDefault="009A0F19" w:rsidP="004032F4">
            <w:pPr>
              <w:spacing w:after="0" w:line="259" w:lineRule="auto"/>
              <w:ind w:left="0" w:right="49" w:firstLine="0"/>
              <w:jc w:val="center"/>
            </w:pPr>
            <w:r>
              <w:t>1.62</w:t>
            </w:r>
            <w:r w:rsidR="0059202B">
              <w:t xml:space="preserve"> </w:t>
            </w:r>
          </w:p>
        </w:tc>
      </w:tr>
      <w:tr w:rsidR="008C3F1B" w14:paraId="379035BF" w14:textId="77777777" w:rsidTr="00CD02E5">
        <w:trPr>
          <w:trHeight w:val="313"/>
        </w:trPr>
        <w:tc>
          <w:tcPr>
            <w:tcW w:w="1828" w:type="dxa"/>
            <w:tcBorders>
              <w:top w:val="single" w:sz="4" w:space="0" w:color="000000"/>
              <w:left w:val="single" w:sz="4" w:space="0" w:color="000000"/>
              <w:bottom w:val="nil"/>
              <w:right w:val="nil"/>
            </w:tcBorders>
          </w:tcPr>
          <w:p w14:paraId="044E3469" w14:textId="2DB399A5" w:rsidR="008C3F1B" w:rsidRDefault="00300F5B" w:rsidP="000F7017">
            <w:pPr>
              <w:spacing w:after="0" w:line="259" w:lineRule="auto"/>
            </w:pPr>
            <w:r>
              <w:t>Phillips 66</w:t>
            </w:r>
          </w:p>
        </w:tc>
        <w:tc>
          <w:tcPr>
            <w:tcW w:w="1887" w:type="dxa"/>
            <w:tcBorders>
              <w:top w:val="single" w:sz="4" w:space="0" w:color="000000"/>
              <w:left w:val="nil"/>
              <w:bottom w:val="nil"/>
              <w:right w:val="nil"/>
            </w:tcBorders>
          </w:tcPr>
          <w:p w14:paraId="473D4D54" w14:textId="78B5C83B" w:rsidR="008C3F1B" w:rsidRDefault="008A3C7C">
            <w:pPr>
              <w:spacing w:after="0" w:line="259" w:lineRule="auto"/>
              <w:ind w:left="608" w:firstLine="0"/>
            </w:pPr>
            <w:r>
              <w:t>PSX</w:t>
            </w:r>
          </w:p>
        </w:tc>
        <w:tc>
          <w:tcPr>
            <w:tcW w:w="1584" w:type="dxa"/>
            <w:tcBorders>
              <w:top w:val="single" w:sz="4" w:space="0" w:color="000000"/>
              <w:left w:val="nil"/>
              <w:bottom w:val="nil"/>
              <w:right w:val="nil"/>
            </w:tcBorders>
          </w:tcPr>
          <w:p w14:paraId="15CC574D" w14:textId="411672DB" w:rsidR="008C3F1B" w:rsidRDefault="00F11419">
            <w:pPr>
              <w:spacing w:after="0" w:line="259" w:lineRule="auto"/>
              <w:ind w:left="61" w:firstLine="0"/>
              <w:jc w:val="center"/>
            </w:pPr>
            <w:r>
              <w:t>46.7</w:t>
            </w:r>
          </w:p>
        </w:tc>
        <w:tc>
          <w:tcPr>
            <w:tcW w:w="1435" w:type="dxa"/>
            <w:tcBorders>
              <w:top w:val="single" w:sz="4" w:space="0" w:color="000000"/>
              <w:left w:val="nil"/>
              <w:bottom w:val="nil"/>
              <w:right w:val="nil"/>
            </w:tcBorders>
          </w:tcPr>
          <w:p w14:paraId="5B3DD8E6" w14:textId="5B8A26EF" w:rsidR="008C3F1B" w:rsidRDefault="00F11419">
            <w:pPr>
              <w:spacing w:after="0" w:line="259" w:lineRule="auto"/>
              <w:ind w:left="115" w:firstLine="0"/>
            </w:pPr>
            <w:r>
              <w:t xml:space="preserve"> </w:t>
            </w:r>
            <w:r w:rsidR="001D67DD">
              <w:t>102,</w:t>
            </w:r>
            <w:r w:rsidR="005C0D2B">
              <w:t>354</w:t>
            </w:r>
          </w:p>
        </w:tc>
        <w:tc>
          <w:tcPr>
            <w:tcW w:w="881" w:type="dxa"/>
            <w:tcBorders>
              <w:top w:val="single" w:sz="4" w:space="0" w:color="000000"/>
              <w:left w:val="nil"/>
              <w:bottom w:val="nil"/>
              <w:right w:val="nil"/>
            </w:tcBorders>
          </w:tcPr>
          <w:p w14:paraId="6EB6C4AC" w14:textId="14673048" w:rsidR="008C3F1B" w:rsidRDefault="00C53C23">
            <w:pPr>
              <w:spacing w:after="0" w:line="259" w:lineRule="auto"/>
              <w:ind w:left="113" w:firstLine="0"/>
            </w:pPr>
            <w:r>
              <w:t>5,311</w:t>
            </w:r>
          </w:p>
        </w:tc>
        <w:tc>
          <w:tcPr>
            <w:tcW w:w="1610" w:type="dxa"/>
            <w:tcBorders>
              <w:top w:val="single" w:sz="4" w:space="0" w:color="000000"/>
              <w:left w:val="nil"/>
              <w:bottom w:val="nil"/>
              <w:right w:val="nil"/>
            </w:tcBorders>
          </w:tcPr>
          <w:p w14:paraId="74A3E182" w14:textId="0F35E4FE" w:rsidR="008C3F1B" w:rsidRDefault="00490AEE">
            <w:pPr>
              <w:spacing w:after="0" w:line="259" w:lineRule="auto"/>
              <w:ind w:left="174" w:firstLine="0"/>
              <w:jc w:val="center"/>
            </w:pPr>
            <w:r>
              <w:t>9.9</w:t>
            </w:r>
          </w:p>
        </w:tc>
        <w:tc>
          <w:tcPr>
            <w:tcW w:w="931" w:type="dxa"/>
            <w:tcBorders>
              <w:top w:val="single" w:sz="4" w:space="0" w:color="000000"/>
              <w:left w:val="nil"/>
              <w:bottom w:val="nil"/>
              <w:right w:val="single" w:sz="4" w:space="0" w:color="000000"/>
            </w:tcBorders>
          </w:tcPr>
          <w:p w14:paraId="4E0F2F23" w14:textId="4FA87A2B" w:rsidR="008C3F1B" w:rsidRDefault="00300F5B" w:rsidP="00C64D35">
            <w:pPr>
              <w:spacing w:after="0" w:line="259" w:lineRule="auto"/>
              <w:ind w:left="0" w:right="49" w:firstLine="0"/>
              <w:jc w:val="center"/>
            </w:pPr>
            <w:r>
              <w:t>2.9</w:t>
            </w:r>
            <w:r w:rsidR="0059202B">
              <w:t xml:space="preserve"> </w:t>
            </w:r>
          </w:p>
        </w:tc>
      </w:tr>
      <w:tr w:rsidR="008C3F1B" w14:paraId="4C2E0D3C" w14:textId="77777777" w:rsidTr="00CD02E5">
        <w:trPr>
          <w:trHeight w:val="280"/>
        </w:trPr>
        <w:tc>
          <w:tcPr>
            <w:tcW w:w="1828" w:type="dxa"/>
            <w:tcBorders>
              <w:top w:val="nil"/>
              <w:left w:val="single" w:sz="4" w:space="0" w:color="000000"/>
              <w:bottom w:val="nil"/>
              <w:right w:val="nil"/>
            </w:tcBorders>
          </w:tcPr>
          <w:p w14:paraId="326AA6AC" w14:textId="4B442D2B" w:rsidR="008C3F1B" w:rsidRDefault="003D3A1E" w:rsidP="003D3A1E">
            <w:pPr>
              <w:spacing w:after="0" w:line="259" w:lineRule="auto"/>
            </w:pPr>
            <w:r>
              <w:t>Valero Energy Corp</w:t>
            </w:r>
          </w:p>
        </w:tc>
        <w:tc>
          <w:tcPr>
            <w:tcW w:w="1887" w:type="dxa"/>
            <w:tcBorders>
              <w:top w:val="nil"/>
              <w:left w:val="nil"/>
              <w:bottom w:val="nil"/>
              <w:right w:val="nil"/>
            </w:tcBorders>
          </w:tcPr>
          <w:p w14:paraId="4088D67F" w14:textId="042239E1" w:rsidR="008C3F1B" w:rsidRDefault="008A3C7C">
            <w:pPr>
              <w:spacing w:after="0" w:line="259" w:lineRule="auto"/>
              <w:ind w:left="608" w:firstLine="0"/>
            </w:pPr>
            <w:r>
              <w:t>VLO</w:t>
            </w:r>
          </w:p>
        </w:tc>
        <w:tc>
          <w:tcPr>
            <w:tcW w:w="1584" w:type="dxa"/>
            <w:tcBorders>
              <w:top w:val="nil"/>
              <w:left w:val="nil"/>
              <w:bottom w:val="nil"/>
              <w:right w:val="nil"/>
            </w:tcBorders>
          </w:tcPr>
          <w:p w14:paraId="5C99A0F3" w14:textId="7A4E852A" w:rsidR="008C3F1B" w:rsidRDefault="003D3A1E">
            <w:pPr>
              <w:spacing w:after="0" w:line="259" w:lineRule="auto"/>
              <w:ind w:left="61" w:firstLine="0"/>
              <w:jc w:val="center"/>
            </w:pPr>
            <w:r>
              <w:t>42.6</w:t>
            </w:r>
          </w:p>
        </w:tc>
        <w:tc>
          <w:tcPr>
            <w:tcW w:w="1435" w:type="dxa"/>
            <w:tcBorders>
              <w:top w:val="nil"/>
              <w:left w:val="nil"/>
              <w:bottom w:val="nil"/>
              <w:right w:val="nil"/>
            </w:tcBorders>
          </w:tcPr>
          <w:p w14:paraId="0CC069D0" w14:textId="566E57AC" w:rsidR="008C3F1B" w:rsidRDefault="003D3A1E">
            <w:pPr>
              <w:spacing w:after="0" w:line="259" w:lineRule="auto"/>
              <w:ind w:left="115" w:firstLine="0"/>
            </w:pPr>
            <w:r>
              <w:t xml:space="preserve"> </w:t>
            </w:r>
            <w:r w:rsidR="00C56EBC">
              <w:t>93,980</w:t>
            </w:r>
          </w:p>
        </w:tc>
        <w:tc>
          <w:tcPr>
            <w:tcW w:w="881" w:type="dxa"/>
            <w:tcBorders>
              <w:top w:val="nil"/>
              <w:left w:val="nil"/>
              <w:bottom w:val="nil"/>
              <w:right w:val="nil"/>
            </w:tcBorders>
          </w:tcPr>
          <w:p w14:paraId="4CA81ABE" w14:textId="4E6C7EA9" w:rsidR="008C3F1B" w:rsidRDefault="00C56EBC">
            <w:pPr>
              <w:spacing w:after="0" w:line="259" w:lineRule="auto"/>
              <w:ind w:left="113" w:firstLine="0"/>
            </w:pPr>
            <w:r>
              <w:t xml:space="preserve"> </w:t>
            </w:r>
            <w:r w:rsidR="00135DE2">
              <w:t>5,585</w:t>
            </w:r>
          </w:p>
        </w:tc>
        <w:tc>
          <w:tcPr>
            <w:tcW w:w="1610" w:type="dxa"/>
            <w:tcBorders>
              <w:top w:val="nil"/>
              <w:left w:val="nil"/>
              <w:bottom w:val="nil"/>
              <w:right w:val="nil"/>
            </w:tcBorders>
          </w:tcPr>
          <w:p w14:paraId="6816BE1E" w14:textId="64CADC83" w:rsidR="008C3F1B" w:rsidRDefault="00135DE2" w:rsidP="00135DE2">
            <w:pPr>
              <w:spacing w:after="0" w:line="259" w:lineRule="auto"/>
              <w:ind w:left="285" w:firstLine="0"/>
            </w:pPr>
            <w:r>
              <w:t xml:space="preserve">       </w:t>
            </w:r>
            <w:r w:rsidR="00490AEE">
              <w:t xml:space="preserve"> 10.5</w:t>
            </w:r>
          </w:p>
        </w:tc>
        <w:tc>
          <w:tcPr>
            <w:tcW w:w="931" w:type="dxa"/>
            <w:tcBorders>
              <w:top w:val="nil"/>
              <w:left w:val="nil"/>
              <w:bottom w:val="nil"/>
              <w:right w:val="single" w:sz="4" w:space="0" w:color="000000"/>
            </w:tcBorders>
          </w:tcPr>
          <w:p w14:paraId="4B886F99" w14:textId="46FDE15D" w:rsidR="008C3F1B" w:rsidRDefault="009A2738" w:rsidP="00555358">
            <w:pPr>
              <w:spacing w:after="0" w:line="259" w:lineRule="auto"/>
              <w:ind w:left="0" w:right="49" w:firstLine="0"/>
              <w:jc w:val="center"/>
            </w:pPr>
            <w:r>
              <w:t>3.5</w:t>
            </w:r>
            <w:r w:rsidR="0059202B">
              <w:t xml:space="preserve"> </w:t>
            </w:r>
          </w:p>
        </w:tc>
      </w:tr>
      <w:tr w:rsidR="008C3F1B" w14:paraId="1D8F59B6" w14:textId="77777777" w:rsidTr="00CD02E5">
        <w:trPr>
          <w:trHeight w:val="280"/>
        </w:trPr>
        <w:tc>
          <w:tcPr>
            <w:tcW w:w="1828" w:type="dxa"/>
            <w:tcBorders>
              <w:top w:val="nil"/>
              <w:left w:val="single" w:sz="4" w:space="0" w:color="000000"/>
              <w:bottom w:val="nil"/>
              <w:right w:val="nil"/>
            </w:tcBorders>
          </w:tcPr>
          <w:p w14:paraId="1DBE89AC" w14:textId="547FD1A5" w:rsidR="008C3F1B" w:rsidRDefault="008A68FF" w:rsidP="008A68FF">
            <w:pPr>
              <w:spacing w:after="0" w:line="259" w:lineRule="auto"/>
            </w:pPr>
            <w:r>
              <w:t>Marathon Energy</w:t>
            </w:r>
          </w:p>
        </w:tc>
        <w:tc>
          <w:tcPr>
            <w:tcW w:w="1887" w:type="dxa"/>
            <w:tcBorders>
              <w:top w:val="nil"/>
              <w:left w:val="nil"/>
              <w:bottom w:val="nil"/>
              <w:right w:val="nil"/>
            </w:tcBorders>
          </w:tcPr>
          <w:p w14:paraId="31B43AEA" w14:textId="7EEFC0A3" w:rsidR="008C3F1B" w:rsidRDefault="00433A9E">
            <w:pPr>
              <w:spacing w:after="0" w:line="259" w:lineRule="auto"/>
              <w:ind w:left="608" w:firstLine="0"/>
            </w:pPr>
            <w:r>
              <w:t>MPC</w:t>
            </w:r>
          </w:p>
        </w:tc>
        <w:tc>
          <w:tcPr>
            <w:tcW w:w="1584" w:type="dxa"/>
            <w:tcBorders>
              <w:top w:val="nil"/>
              <w:left w:val="nil"/>
              <w:bottom w:val="nil"/>
              <w:right w:val="nil"/>
            </w:tcBorders>
          </w:tcPr>
          <w:p w14:paraId="6A44FC05" w14:textId="7119C4ED" w:rsidR="008C3F1B" w:rsidRDefault="008A68FF">
            <w:pPr>
              <w:spacing w:after="0" w:line="259" w:lineRule="auto"/>
              <w:ind w:left="61" w:firstLine="0"/>
              <w:jc w:val="center"/>
            </w:pPr>
            <w:r>
              <w:t>35.0</w:t>
            </w:r>
            <w:r w:rsidR="0059202B">
              <w:t xml:space="preserve"> </w:t>
            </w:r>
          </w:p>
        </w:tc>
        <w:tc>
          <w:tcPr>
            <w:tcW w:w="1435" w:type="dxa"/>
            <w:tcBorders>
              <w:top w:val="nil"/>
              <w:left w:val="nil"/>
              <w:bottom w:val="nil"/>
              <w:right w:val="nil"/>
            </w:tcBorders>
          </w:tcPr>
          <w:p w14:paraId="738543EC" w14:textId="66C270C9" w:rsidR="008C3F1B" w:rsidRDefault="0059202B">
            <w:pPr>
              <w:spacing w:after="0" w:line="259" w:lineRule="auto"/>
              <w:ind w:left="115" w:firstLine="0"/>
            </w:pPr>
            <w:r>
              <w:t xml:space="preserve"> </w:t>
            </w:r>
            <w:r w:rsidR="00F6791C">
              <w:t>74,733</w:t>
            </w:r>
            <w:r>
              <w:t xml:space="preserve">  </w:t>
            </w:r>
          </w:p>
        </w:tc>
        <w:tc>
          <w:tcPr>
            <w:tcW w:w="881" w:type="dxa"/>
            <w:tcBorders>
              <w:top w:val="nil"/>
              <w:left w:val="nil"/>
              <w:bottom w:val="nil"/>
              <w:right w:val="nil"/>
            </w:tcBorders>
          </w:tcPr>
          <w:p w14:paraId="5A8BBB74" w14:textId="0A9D7B52" w:rsidR="008C3F1B" w:rsidRDefault="0059202B">
            <w:pPr>
              <w:spacing w:after="0" w:line="259" w:lineRule="auto"/>
              <w:ind w:left="113" w:firstLine="0"/>
            </w:pPr>
            <w:r>
              <w:t xml:space="preserve"> </w:t>
            </w:r>
            <w:r w:rsidR="00F6791C">
              <w:t>5,767</w:t>
            </w:r>
            <w:r>
              <w:t xml:space="preserve">  </w:t>
            </w:r>
          </w:p>
        </w:tc>
        <w:tc>
          <w:tcPr>
            <w:tcW w:w="1610" w:type="dxa"/>
            <w:tcBorders>
              <w:top w:val="nil"/>
              <w:left w:val="nil"/>
              <w:bottom w:val="nil"/>
              <w:right w:val="nil"/>
            </w:tcBorders>
          </w:tcPr>
          <w:p w14:paraId="3DA341C2" w14:textId="0ACACB26" w:rsidR="008C3F1B" w:rsidRDefault="00605C8B">
            <w:pPr>
              <w:spacing w:after="0" w:line="259" w:lineRule="auto"/>
              <w:ind w:left="174" w:firstLine="0"/>
              <w:jc w:val="center"/>
            </w:pPr>
            <w:r>
              <w:t>10.7</w:t>
            </w:r>
          </w:p>
        </w:tc>
        <w:tc>
          <w:tcPr>
            <w:tcW w:w="931" w:type="dxa"/>
            <w:tcBorders>
              <w:top w:val="nil"/>
              <w:left w:val="nil"/>
              <w:bottom w:val="nil"/>
              <w:right w:val="single" w:sz="4" w:space="0" w:color="000000"/>
            </w:tcBorders>
          </w:tcPr>
          <w:p w14:paraId="3B1E898A" w14:textId="2C6B46D7" w:rsidR="008C3F1B" w:rsidRDefault="00C96D0B" w:rsidP="00D57EB1">
            <w:pPr>
              <w:spacing w:after="0" w:line="259" w:lineRule="auto"/>
              <w:ind w:left="0" w:right="49" w:firstLine="0"/>
              <w:jc w:val="center"/>
            </w:pPr>
            <w:r>
              <w:t>1.5</w:t>
            </w:r>
            <w:r w:rsidR="0059202B">
              <w:t xml:space="preserve"> </w:t>
            </w:r>
          </w:p>
        </w:tc>
      </w:tr>
      <w:tr w:rsidR="008C3F1B" w14:paraId="055DDEA8" w14:textId="77777777" w:rsidTr="00CD02E5">
        <w:trPr>
          <w:trHeight w:val="281"/>
        </w:trPr>
        <w:tc>
          <w:tcPr>
            <w:tcW w:w="1828" w:type="dxa"/>
            <w:tcBorders>
              <w:top w:val="nil"/>
              <w:left w:val="single" w:sz="4" w:space="0" w:color="000000"/>
              <w:bottom w:val="nil"/>
              <w:right w:val="nil"/>
            </w:tcBorders>
          </w:tcPr>
          <w:p w14:paraId="1F716825" w14:textId="562FE100" w:rsidR="008C3F1B" w:rsidRDefault="00C96D0B" w:rsidP="00C96D0B">
            <w:pPr>
              <w:spacing w:after="0" w:line="259" w:lineRule="auto"/>
            </w:pPr>
            <w:r>
              <w:t>Neste Corp</w:t>
            </w:r>
          </w:p>
        </w:tc>
        <w:tc>
          <w:tcPr>
            <w:tcW w:w="1887" w:type="dxa"/>
            <w:tcBorders>
              <w:top w:val="nil"/>
              <w:left w:val="nil"/>
              <w:bottom w:val="nil"/>
              <w:right w:val="nil"/>
            </w:tcBorders>
          </w:tcPr>
          <w:p w14:paraId="5CB522CA" w14:textId="6953CF85" w:rsidR="008C3F1B" w:rsidRDefault="00CD02E5">
            <w:pPr>
              <w:spacing w:after="0" w:line="259" w:lineRule="auto"/>
              <w:ind w:left="608" w:firstLine="0"/>
            </w:pPr>
            <w:r>
              <w:t>NTOIY</w:t>
            </w:r>
          </w:p>
        </w:tc>
        <w:tc>
          <w:tcPr>
            <w:tcW w:w="1584" w:type="dxa"/>
            <w:tcBorders>
              <w:top w:val="nil"/>
              <w:left w:val="nil"/>
              <w:bottom w:val="nil"/>
              <w:right w:val="nil"/>
            </w:tcBorders>
          </w:tcPr>
          <w:p w14:paraId="2C0486EF" w14:textId="5505783C" w:rsidR="008C3F1B" w:rsidRDefault="00C96D0B">
            <w:pPr>
              <w:spacing w:after="0" w:line="259" w:lineRule="auto"/>
              <w:ind w:left="61" w:firstLine="0"/>
              <w:jc w:val="center"/>
            </w:pPr>
            <w:r>
              <w:t>17.3</w:t>
            </w:r>
            <w:r w:rsidR="0059202B">
              <w:t xml:space="preserve"> </w:t>
            </w:r>
          </w:p>
        </w:tc>
        <w:tc>
          <w:tcPr>
            <w:tcW w:w="1435" w:type="dxa"/>
            <w:tcBorders>
              <w:top w:val="nil"/>
              <w:left w:val="nil"/>
              <w:bottom w:val="nil"/>
              <w:right w:val="nil"/>
            </w:tcBorders>
          </w:tcPr>
          <w:p w14:paraId="44B959B6" w14:textId="468F692E" w:rsidR="008C3F1B" w:rsidRDefault="00C96D0B">
            <w:pPr>
              <w:spacing w:after="0" w:line="259" w:lineRule="auto"/>
              <w:ind w:left="115" w:firstLine="0"/>
            </w:pPr>
            <w:r>
              <w:t xml:space="preserve"> </w:t>
            </w:r>
            <w:r w:rsidR="000F76EF">
              <w:t>11,</w:t>
            </w:r>
            <w:r w:rsidR="00113BED">
              <w:t>689</w:t>
            </w:r>
          </w:p>
        </w:tc>
        <w:tc>
          <w:tcPr>
            <w:tcW w:w="881" w:type="dxa"/>
            <w:tcBorders>
              <w:top w:val="nil"/>
              <w:left w:val="nil"/>
              <w:bottom w:val="nil"/>
              <w:right w:val="nil"/>
            </w:tcBorders>
          </w:tcPr>
          <w:p w14:paraId="15B3819F" w14:textId="568E131A" w:rsidR="008C3F1B" w:rsidRDefault="00113BED">
            <w:pPr>
              <w:spacing w:after="0" w:line="259" w:lineRule="auto"/>
              <w:ind w:left="113" w:firstLine="0"/>
            </w:pPr>
            <w:r>
              <w:t xml:space="preserve"> 1,501</w:t>
            </w:r>
            <w:r w:rsidR="0059202B">
              <w:t xml:space="preserve"> </w:t>
            </w:r>
          </w:p>
        </w:tc>
        <w:tc>
          <w:tcPr>
            <w:tcW w:w="1610" w:type="dxa"/>
            <w:tcBorders>
              <w:top w:val="nil"/>
              <w:left w:val="nil"/>
              <w:bottom w:val="nil"/>
              <w:right w:val="nil"/>
            </w:tcBorders>
          </w:tcPr>
          <w:p w14:paraId="228076D2" w14:textId="50E57DE6" w:rsidR="008C3F1B" w:rsidRDefault="00605C8B" w:rsidP="00605C8B">
            <w:pPr>
              <w:spacing w:after="0" w:line="259" w:lineRule="auto"/>
              <w:ind w:left="285" w:firstLine="0"/>
            </w:pPr>
            <w:r>
              <w:t xml:space="preserve">        </w:t>
            </w:r>
            <w:r w:rsidR="001D17C4">
              <w:t>15.3</w:t>
            </w:r>
          </w:p>
        </w:tc>
        <w:tc>
          <w:tcPr>
            <w:tcW w:w="931" w:type="dxa"/>
            <w:tcBorders>
              <w:top w:val="nil"/>
              <w:left w:val="nil"/>
              <w:bottom w:val="nil"/>
              <w:right w:val="single" w:sz="4" w:space="0" w:color="000000"/>
            </w:tcBorders>
          </w:tcPr>
          <w:p w14:paraId="355B29C3" w14:textId="3A25CDA2" w:rsidR="008C3F1B" w:rsidRDefault="00BF1768" w:rsidP="00F50672">
            <w:pPr>
              <w:spacing w:after="0" w:line="259" w:lineRule="auto"/>
              <w:ind w:left="0" w:right="49" w:firstLine="0"/>
              <w:jc w:val="center"/>
            </w:pPr>
            <w:r>
              <w:t>3.15</w:t>
            </w:r>
            <w:r w:rsidR="0059202B">
              <w:t xml:space="preserve"> </w:t>
            </w:r>
          </w:p>
        </w:tc>
      </w:tr>
      <w:tr w:rsidR="008C3F1B" w14:paraId="43CECB49" w14:textId="77777777" w:rsidTr="000B0D7B">
        <w:trPr>
          <w:trHeight w:val="258"/>
        </w:trPr>
        <w:tc>
          <w:tcPr>
            <w:tcW w:w="1828" w:type="dxa"/>
            <w:tcBorders>
              <w:top w:val="single" w:sz="4" w:space="0" w:color="000000"/>
              <w:left w:val="single" w:sz="4" w:space="0" w:color="000000"/>
              <w:bottom w:val="single" w:sz="4" w:space="0" w:color="000000"/>
              <w:right w:val="nil"/>
            </w:tcBorders>
          </w:tcPr>
          <w:p w14:paraId="7D338B13" w14:textId="60DAAFFD" w:rsidR="008C3F1B" w:rsidRDefault="00CD02E5" w:rsidP="00CD02E5">
            <w:pPr>
              <w:spacing w:after="0" w:line="259" w:lineRule="auto"/>
              <w:ind w:left="0" w:firstLine="0"/>
            </w:pPr>
            <w:r>
              <w:t xml:space="preserve">Peer Average </w:t>
            </w:r>
          </w:p>
        </w:tc>
        <w:tc>
          <w:tcPr>
            <w:tcW w:w="1887" w:type="dxa"/>
            <w:tcBorders>
              <w:top w:val="single" w:sz="4" w:space="0" w:color="000000"/>
              <w:left w:val="nil"/>
              <w:bottom w:val="single" w:sz="4" w:space="0" w:color="000000"/>
              <w:right w:val="nil"/>
            </w:tcBorders>
          </w:tcPr>
          <w:p w14:paraId="3D6B5303" w14:textId="409E60A4" w:rsidR="008C3F1B" w:rsidRDefault="00CD02E5">
            <w:pPr>
              <w:spacing w:after="0" w:line="259" w:lineRule="auto"/>
              <w:ind w:left="0" w:right="163" w:firstLine="0"/>
              <w:jc w:val="center"/>
            </w:pPr>
            <w:r>
              <w:t xml:space="preserve">  </w:t>
            </w:r>
          </w:p>
        </w:tc>
        <w:tc>
          <w:tcPr>
            <w:tcW w:w="1584" w:type="dxa"/>
            <w:tcBorders>
              <w:top w:val="single" w:sz="4" w:space="0" w:color="000000"/>
              <w:left w:val="nil"/>
              <w:bottom w:val="single" w:sz="4" w:space="0" w:color="000000"/>
              <w:right w:val="nil"/>
            </w:tcBorders>
            <w:vAlign w:val="bottom"/>
          </w:tcPr>
          <w:p w14:paraId="595C5E59" w14:textId="602C553B" w:rsidR="008C3F1B" w:rsidRDefault="00ED4B8E">
            <w:pPr>
              <w:spacing w:after="0" w:line="259" w:lineRule="auto"/>
              <w:ind w:left="172" w:firstLine="0"/>
              <w:jc w:val="center"/>
            </w:pPr>
            <w:r>
              <w:t>31.694</w:t>
            </w:r>
          </w:p>
        </w:tc>
        <w:tc>
          <w:tcPr>
            <w:tcW w:w="1435" w:type="dxa"/>
            <w:tcBorders>
              <w:top w:val="single" w:sz="4" w:space="0" w:color="000000"/>
              <w:left w:val="nil"/>
              <w:bottom w:val="single" w:sz="4" w:space="0" w:color="000000"/>
              <w:right w:val="nil"/>
            </w:tcBorders>
            <w:vAlign w:val="bottom"/>
          </w:tcPr>
          <w:p w14:paraId="479C6861" w14:textId="7B61314F" w:rsidR="008C3F1B" w:rsidRDefault="00ED4B8E">
            <w:pPr>
              <w:spacing w:after="0" w:line="259" w:lineRule="auto"/>
              <w:ind w:left="115" w:firstLine="0"/>
            </w:pPr>
            <w:r>
              <w:t>63</w:t>
            </w:r>
            <w:r w:rsidR="00A93019">
              <w:t>,</w:t>
            </w:r>
            <w:r>
              <w:t>546.2</w:t>
            </w:r>
          </w:p>
        </w:tc>
        <w:tc>
          <w:tcPr>
            <w:tcW w:w="881" w:type="dxa"/>
            <w:tcBorders>
              <w:top w:val="single" w:sz="4" w:space="0" w:color="000000"/>
              <w:left w:val="nil"/>
              <w:bottom w:val="single" w:sz="4" w:space="0" w:color="000000"/>
              <w:right w:val="nil"/>
            </w:tcBorders>
            <w:vAlign w:val="bottom"/>
          </w:tcPr>
          <w:p w14:paraId="565D283B" w14:textId="164F37F8" w:rsidR="008C3F1B" w:rsidRDefault="00ED4B8E">
            <w:pPr>
              <w:spacing w:after="0" w:line="259" w:lineRule="auto"/>
              <w:ind w:left="119" w:firstLine="0"/>
              <w:jc w:val="center"/>
            </w:pPr>
            <w:r>
              <w:t>4</w:t>
            </w:r>
            <w:r w:rsidR="00A93019">
              <w:t>,</w:t>
            </w:r>
            <w:r>
              <w:t>142</w:t>
            </w:r>
          </w:p>
        </w:tc>
        <w:tc>
          <w:tcPr>
            <w:tcW w:w="1610" w:type="dxa"/>
            <w:tcBorders>
              <w:top w:val="single" w:sz="4" w:space="0" w:color="000000"/>
              <w:left w:val="nil"/>
              <w:bottom w:val="single" w:sz="4" w:space="0" w:color="000000"/>
              <w:right w:val="nil"/>
            </w:tcBorders>
            <w:vAlign w:val="bottom"/>
          </w:tcPr>
          <w:p w14:paraId="4EDD34DA" w14:textId="3850DBE6" w:rsidR="008C3F1B" w:rsidRDefault="003476CA">
            <w:pPr>
              <w:spacing w:after="0" w:line="259" w:lineRule="auto"/>
              <w:ind w:left="64" w:firstLine="0"/>
              <w:jc w:val="center"/>
            </w:pPr>
            <w:r>
              <w:t xml:space="preserve">   11.26</w:t>
            </w:r>
          </w:p>
        </w:tc>
        <w:tc>
          <w:tcPr>
            <w:tcW w:w="931" w:type="dxa"/>
            <w:tcBorders>
              <w:top w:val="single" w:sz="4" w:space="0" w:color="000000"/>
              <w:left w:val="nil"/>
              <w:bottom w:val="single" w:sz="4" w:space="0" w:color="000000"/>
              <w:right w:val="single" w:sz="4" w:space="0" w:color="000000"/>
            </w:tcBorders>
            <w:vAlign w:val="bottom"/>
          </w:tcPr>
          <w:p w14:paraId="17416BBC" w14:textId="422F8375" w:rsidR="008C3F1B" w:rsidRDefault="00ED4B8E" w:rsidP="003476CA">
            <w:pPr>
              <w:spacing w:after="0" w:line="259" w:lineRule="auto"/>
              <w:ind w:left="0" w:right="50" w:firstLine="0"/>
              <w:jc w:val="center"/>
            </w:pPr>
            <w:r>
              <w:t>2.534</w:t>
            </w:r>
          </w:p>
        </w:tc>
      </w:tr>
    </w:tbl>
    <w:p w14:paraId="4CBE4E9F" w14:textId="77777777" w:rsidR="008C3F1B" w:rsidRDefault="0059202B" w:rsidP="00AD09CD">
      <w:pPr>
        <w:spacing w:after="4" w:line="259" w:lineRule="auto"/>
        <w:rPr>
          <w:b/>
        </w:rPr>
      </w:pPr>
      <w:r>
        <w:rPr>
          <w:b/>
        </w:rPr>
        <w:t xml:space="preserve">Ownership </w:t>
      </w:r>
    </w:p>
    <w:p w14:paraId="6B83A31E" w14:textId="77777777" w:rsidR="00A4592A" w:rsidRDefault="00A4592A" w:rsidP="00AD09CD">
      <w:pPr>
        <w:spacing w:after="4" w:line="259" w:lineRule="auto"/>
      </w:pPr>
    </w:p>
    <w:tbl>
      <w:tblPr>
        <w:tblStyle w:val="TableGrid"/>
        <w:tblW w:w="10271" w:type="dxa"/>
        <w:tblInd w:w="-180" w:type="dxa"/>
        <w:tblCellMar>
          <w:top w:w="27" w:type="dxa"/>
          <w:left w:w="163" w:type="dxa"/>
          <w:right w:w="58" w:type="dxa"/>
        </w:tblCellMar>
        <w:tblLook w:val="04A0" w:firstRow="1" w:lastRow="0" w:firstColumn="1" w:lastColumn="0" w:noHBand="0" w:noVBand="1"/>
      </w:tblPr>
      <w:tblGrid>
        <w:gridCol w:w="7730"/>
        <w:gridCol w:w="1610"/>
        <w:gridCol w:w="931"/>
      </w:tblGrid>
      <w:tr w:rsidR="008C3F1B" w14:paraId="73F198B4" w14:textId="77777777">
        <w:trPr>
          <w:trHeight w:val="312"/>
        </w:trPr>
        <w:tc>
          <w:tcPr>
            <w:tcW w:w="7730" w:type="dxa"/>
            <w:tcBorders>
              <w:top w:val="single" w:sz="4" w:space="0" w:color="000000"/>
              <w:left w:val="single" w:sz="4" w:space="0" w:color="000000"/>
              <w:bottom w:val="nil"/>
              <w:right w:val="nil"/>
            </w:tcBorders>
          </w:tcPr>
          <w:p w14:paraId="3BDAF5F7" w14:textId="77777777" w:rsidR="008C3F1B" w:rsidRDefault="0059202B">
            <w:pPr>
              <w:spacing w:after="0" w:line="259" w:lineRule="auto"/>
              <w:ind w:left="2561" w:firstLine="0"/>
            </w:pPr>
            <w:r>
              <w:t xml:space="preserve">% of Shares Held by All Insider Owners: </w:t>
            </w:r>
          </w:p>
        </w:tc>
        <w:tc>
          <w:tcPr>
            <w:tcW w:w="1610" w:type="dxa"/>
            <w:tcBorders>
              <w:top w:val="single" w:sz="4" w:space="0" w:color="000000"/>
              <w:left w:val="nil"/>
              <w:bottom w:val="nil"/>
              <w:right w:val="nil"/>
            </w:tcBorders>
          </w:tcPr>
          <w:p w14:paraId="5A1AD427" w14:textId="77777777" w:rsidR="008C3F1B" w:rsidRDefault="008C3F1B">
            <w:pPr>
              <w:spacing w:after="160" w:line="259" w:lineRule="auto"/>
              <w:ind w:left="0" w:firstLine="0"/>
            </w:pPr>
          </w:p>
        </w:tc>
        <w:tc>
          <w:tcPr>
            <w:tcW w:w="931" w:type="dxa"/>
            <w:tcBorders>
              <w:top w:val="single" w:sz="4" w:space="0" w:color="000000"/>
              <w:left w:val="nil"/>
              <w:bottom w:val="nil"/>
              <w:right w:val="single" w:sz="4" w:space="0" w:color="000000"/>
            </w:tcBorders>
          </w:tcPr>
          <w:p w14:paraId="5249CAB0" w14:textId="59338087" w:rsidR="008C3F1B" w:rsidRDefault="00144AB0">
            <w:pPr>
              <w:spacing w:after="0" w:line="259" w:lineRule="auto"/>
              <w:ind w:left="0" w:right="48" w:firstLine="0"/>
              <w:jc w:val="right"/>
            </w:pPr>
            <w:r>
              <w:t>2</w:t>
            </w:r>
            <w:r w:rsidR="0059202B">
              <w:t xml:space="preserve">% </w:t>
            </w:r>
          </w:p>
        </w:tc>
      </w:tr>
      <w:tr w:rsidR="008C3F1B" w14:paraId="612578EC" w14:textId="77777777">
        <w:trPr>
          <w:trHeight w:val="257"/>
        </w:trPr>
        <w:tc>
          <w:tcPr>
            <w:tcW w:w="7730" w:type="dxa"/>
            <w:tcBorders>
              <w:top w:val="nil"/>
              <w:left w:val="single" w:sz="4" w:space="0" w:color="000000"/>
              <w:bottom w:val="single" w:sz="4" w:space="0" w:color="000000"/>
              <w:right w:val="nil"/>
            </w:tcBorders>
          </w:tcPr>
          <w:p w14:paraId="167C1845" w14:textId="77777777" w:rsidR="008C3F1B" w:rsidRDefault="0059202B">
            <w:pPr>
              <w:spacing w:after="0" w:line="259" w:lineRule="auto"/>
              <w:ind w:left="1778" w:firstLine="0"/>
            </w:pPr>
            <w:r>
              <w:t xml:space="preserve">% of Shares held by Institutional &amp; Mutual Fund Owners: </w:t>
            </w:r>
          </w:p>
        </w:tc>
        <w:tc>
          <w:tcPr>
            <w:tcW w:w="1610" w:type="dxa"/>
            <w:tcBorders>
              <w:top w:val="nil"/>
              <w:left w:val="nil"/>
              <w:bottom w:val="single" w:sz="4" w:space="0" w:color="000000"/>
              <w:right w:val="nil"/>
            </w:tcBorders>
          </w:tcPr>
          <w:p w14:paraId="31BBD1AE" w14:textId="77777777" w:rsidR="008C3F1B" w:rsidRDefault="008C3F1B">
            <w:pPr>
              <w:spacing w:after="160" w:line="259" w:lineRule="auto"/>
              <w:ind w:left="0" w:firstLine="0"/>
            </w:pPr>
          </w:p>
        </w:tc>
        <w:tc>
          <w:tcPr>
            <w:tcW w:w="931" w:type="dxa"/>
            <w:tcBorders>
              <w:top w:val="nil"/>
              <w:left w:val="nil"/>
              <w:bottom w:val="single" w:sz="4" w:space="0" w:color="000000"/>
              <w:right w:val="single" w:sz="4" w:space="0" w:color="000000"/>
            </w:tcBorders>
          </w:tcPr>
          <w:p w14:paraId="0D67C60C" w14:textId="6D74F61F" w:rsidR="008C3F1B" w:rsidRDefault="00886D2C">
            <w:pPr>
              <w:spacing w:after="0" w:line="259" w:lineRule="auto"/>
              <w:ind w:left="0" w:firstLine="0"/>
            </w:pPr>
            <w:r>
              <w:t xml:space="preserve">      </w:t>
            </w:r>
            <w:r w:rsidR="00144AB0">
              <w:t>98</w:t>
            </w:r>
            <w:r w:rsidR="0059202B">
              <w:t xml:space="preserve">% </w:t>
            </w:r>
          </w:p>
        </w:tc>
      </w:tr>
    </w:tbl>
    <w:p w14:paraId="759CE945" w14:textId="77777777" w:rsidR="008C3F1B" w:rsidRDefault="0059202B" w:rsidP="00AD09CD">
      <w:pPr>
        <w:spacing w:after="4" w:line="259" w:lineRule="auto"/>
        <w:ind w:right="2"/>
      </w:pPr>
      <w:r>
        <w:rPr>
          <w:b/>
        </w:rPr>
        <w:lastRenderedPageBreak/>
        <w:t xml:space="preserve">Top 5 Shareholders </w:t>
      </w:r>
    </w:p>
    <w:tbl>
      <w:tblPr>
        <w:tblStyle w:val="TableGrid"/>
        <w:tblW w:w="10284" w:type="dxa"/>
        <w:tblInd w:w="-1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727"/>
        <w:gridCol w:w="2394"/>
        <w:gridCol w:w="2187"/>
      </w:tblGrid>
      <w:tr w:rsidR="005B7E3B" w:rsidRPr="005B7E3B" w14:paraId="6EB7CB67" w14:textId="77777777" w:rsidTr="00D24732">
        <w:trPr>
          <w:trHeight w:val="326"/>
        </w:trPr>
        <w:tc>
          <w:tcPr>
            <w:tcW w:w="5719" w:type="dxa"/>
            <w:tcBorders>
              <w:top w:val="single" w:sz="4" w:space="0" w:color="auto"/>
              <w:bottom w:val="single" w:sz="4" w:space="0" w:color="auto"/>
            </w:tcBorders>
            <w:noWrap/>
            <w:hideMark/>
          </w:tcPr>
          <w:p w14:paraId="2CCC791F" w14:textId="77777777" w:rsidR="005B7E3B" w:rsidRPr="005B7E3B" w:rsidRDefault="005B7E3B" w:rsidP="005B7E3B">
            <w:pPr>
              <w:spacing w:after="0" w:line="240" w:lineRule="auto"/>
              <w:ind w:left="0" w:firstLine="0"/>
              <w:rPr>
                <w:rFonts w:eastAsia="Times New Roman"/>
                <w:sz w:val="24"/>
                <w:szCs w:val="24"/>
              </w:rPr>
            </w:pPr>
            <w:r w:rsidRPr="005B7E3B">
              <w:rPr>
                <w:rFonts w:eastAsia="Times New Roman"/>
                <w:sz w:val="24"/>
                <w:szCs w:val="24"/>
              </w:rPr>
              <w:t>Holder</w:t>
            </w:r>
          </w:p>
        </w:tc>
        <w:tc>
          <w:tcPr>
            <w:tcW w:w="2386" w:type="dxa"/>
            <w:tcBorders>
              <w:top w:val="single" w:sz="4" w:space="0" w:color="auto"/>
              <w:bottom w:val="single" w:sz="4" w:space="0" w:color="auto"/>
            </w:tcBorders>
            <w:noWrap/>
            <w:hideMark/>
          </w:tcPr>
          <w:p w14:paraId="3B4F6651" w14:textId="77777777" w:rsidR="005B7E3B" w:rsidRPr="005B7E3B" w:rsidRDefault="005B7E3B" w:rsidP="005B7E3B">
            <w:pPr>
              <w:spacing w:after="0" w:line="240" w:lineRule="auto"/>
              <w:ind w:left="0" w:firstLine="0"/>
              <w:rPr>
                <w:rFonts w:eastAsia="Times New Roman"/>
                <w:sz w:val="24"/>
                <w:szCs w:val="24"/>
              </w:rPr>
            </w:pPr>
            <w:r w:rsidRPr="005B7E3B">
              <w:rPr>
                <w:rFonts w:eastAsia="Times New Roman"/>
                <w:sz w:val="24"/>
                <w:szCs w:val="24"/>
              </w:rPr>
              <w:t>Shares</w:t>
            </w:r>
          </w:p>
        </w:tc>
        <w:tc>
          <w:tcPr>
            <w:tcW w:w="2179" w:type="dxa"/>
            <w:tcBorders>
              <w:top w:val="single" w:sz="4" w:space="0" w:color="auto"/>
              <w:bottom w:val="single" w:sz="4" w:space="0" w:color="auto"/>
            </w:tcBorders>
            <w:noWrap/>
            <w:hideMark/>
          </w:tcPr>
          <w:p w14:paraId="7014F2E9" w14:textId="77777777" w:rsidR="005B7E3B" w:rsidRPr="005B7E3B" w:rsidRDefault="005B7E3B" w:rsidP="005B7E3B">
            <w:pPr>
              <w:spacing w:after="0" w:line="240" w:lineRule="auto"/>
              <w:ind w:left="0" w:firstLine="0"/>
              <w:rPr>
                <w:rFonts w:eastAsia="Times New Roman"/>
                <w:sz w:val="24"/>
                <w:szCs w:val="24"/>
              </w:rPr>
            </w:pPr>
            <w:r w:rsidRPr="005B7E3B">
              <w:rPr>
                <w:rFonts w:eastAsia="Times New Roman"/>
                <w:sz w:val="24"/>
                <w:szCs w:val="24"/>
              </w:rPr>
              <w:t>Percent</w:t>
            </w:r>
          </w:p>
        </w:tc>
      </w:tr>
      <w:tr w:rsidR="005B7E3B" w:rsidRPr="005B7E3B" w14:paraId="09151C76" w14:textId="77777777" w:rsidTr="00D24732">
        <w:trPr>
          <w:trHeight w:val="326"/>
        </w:trPr>
        <w:tc>
          <w:tcPr>
            <w:tcW w:w="5719" w:type="dxa"/>
            <w:tcBorders>
              <w:top w:val="single" w:sz="4" w:space="0" w:color="auto"/>
            </w:tcBorders>
            <w:noWrap/>
            <w:hideMark/>
          </w:tcPr>
          <w:p w14:paraId="1C032AE0" w14:textId="77777777" w:rsidR="005B7E3B" w:rsidRPr="005B7E3B" w:rsidRDefault="00B45295" w:rsidP="005B7E3B">
            <w:pPr>
              <w:spacing w:after="0" w:line="240" w:lineRule="auto"/>
              <w:ind w:left="0" w:firstLine="0"/>
              <w:rPr>
                <w:rFonts w:eastAsia="Times New Roman"/>
                <w:sz w:val="24"/>
                <w:szCs w:val="24"/>
              </w:rPr>
            </w:pPr>
            <w:hyperlink r:id="rId8" w:history="1">
              <w:r w:rsidR="005B7E3B" w:rsidRPr="005B7E3B">
                <w:rPr>
                  <w:rFonts w:eastAsia="Times New Roman"/>
                  <w:sz w:val="24"/>
                  <w:szCs w:val="24"/>
                </w:rPr>
                <w:t>Vanguard Mid Cap Index I</w:t>
              </w:r>
            </w:hyperlink>
          </w:p>
        </w:tc>
        <w:tc>
          <w:tcPr>
            <w:tcW w:w="2386" w:type="dxa"/>
            <w:tcBorders>
              <w:top w:val="single" w:sz="4" w:space="0" w:color="auto"/>
            </w:tcBorders>
            <w:noWrap/>
            <w:hideMark/>
          </w:tcPr>
          <w:p w14:paraId="4090A1FA" w14:textId="77777777" w:rsidR="005B7E3B" w:rsidRPr="005B7E3B" w:rsidRDefault="005B7E3B" w:rsidP="005B7E3B">
            <w:pPr>
              <w:spacing w:after="0" w:line="240" w:lineRule="auto"/>
              <w:ind w:left="0" w:firstLine="0"/>
              <w:jc w:val="right"/>
              <w:rPr>
                <w:rFonts w:eastAsia="Times New Roman"/>
                <w:sz w:val="24"/>
                <w:szCs w:val="24"/>
              </w:rPr>
            </w:pPr>
            <w:r w:rsidRPr="005B7E3B">
              <w:rPr>
                <w:rFonts w:eastAsia="Times New Roman"/>
                <w:sz w:val="24"/>
                <w:szCs w:val="24"/>
              </w:rPr>
              <w:t>3635652</w:t>
            </w:r>
          </w:p>
        </w:tc>
        <w:tc>
          <w:tcPr>
            <w:tcW w:w="2179" w:type="dxa"/>
            <w:tcBorders>
              <w:top w:val="single" w:sz="4" w:space="0" w:color="auto"/>
            </w:tcBorders>
            <w:noWrap/>
            <w:hideMark/>
          </w:tcPr>
          <w:p w14:paraId="07A2BC0E" w14:textId="30269686" w:rsidR="005B7E3B" w:rsidRPr="005B7E3B" w:rsidRDefault="005B7E3B" w:rsidP="005B7E3B">
            <w:pPr>
              <w:spacing w:after="0" w:line="240" w:lineRule="auto"/>
              <w:ind w:left="0" w:firstLine="0"/>
              <w:jc w:val="right"/>
              <w:rPr>
                <w:rFonts w:eastAsia="Times New Roman"/>
                <w:sz w:val="24"/>
                <w:szCs w:val="24"/>
              </w:rPr>
            </w:pPr>
            <w:r w:rsidRPr="005B7E3B">
              <w:rPr>
                <w:rFonts w:eastAsia="Times New Roman"/>
                <w:sz w:val="24"/>
                <w:szCs w:val="24"/>
              </w:rPr>
              <w:t>2.36</w:t>
            </w:r>
            <w:r w:rsidR="005F359C">
              <w:rPr>
                <w:rFonts w:eastAsia="Times New Roman"/>
                <w:sz w:val="24"/>
                <w:szCs w:val="24"/>
              </w:rPr>
              <w:t xml:space="preserve">% </w:t>
            </w:r>
          </w:p>
        </w:tc>
      </w:tr>
      <w:tr w:rsidR="005B7E3B" w:rsidRPr="005B7E3B" w14:paraId="3A1B0B73" w14:textId="77777777" w:rsidTr="00D24732">
        <w:trPr>
          <w:trHeight w:val="326"/>
        </w:trPr>
        <w:tc>
          <w:tcPr>
            <w:tcW w:w="5719" w:type="dxa"/>
            <w:noWrap/>
            <w:hideMark/>
          </w:tcPr>
          <w:p w14:paraId="09F19743" w14:textId="77777777" w:rsidR="005B7E3B" w:rsidRPr="005B7E3B" w:rsidRDefault="005B7E3B" w:rsidP="005B7E3B">
            <w:pPr>
              <w:spacing w:after="0" w:line="240" w:lineRule="auto"/>
              <w:ind w:left="0" w:firstLine="0"/>
              <w:jc w:val="right"/>
              <w:rPr>
                <w:rFonts w:eastAsia="Times New Roman"/>
                <w:sz w:val="24"/>
                <w:szCs w:val="24"/>
              </w:rPr>
            </w:pPr>
          </w:p>
        </w:tc>
        <w:tc>
          <w:tcPr>
            <w:tcW w:w="2386" w:type="dxa"/>
            <w:noWrap/>
            <w:hideMark/>
          </w:tcPr>
          <w:p w14:paraId="1444A841" w14:textId="77777777" w:rsidR="005B7E3B" w:rsidRPr="005B7E3B" w:rsidRDefault="005B7E3B" w:rsidP="005B7E3B">
            <w:pPr>
              <w:spacing w:after="0" w:line="240" w:lineRule="auto"/>
              <w:ind w:left="0" w:firstLine="0"/>
              <w:rPr>
                <w:rFonts w:ascii="Times New Roman" w:eastAsia="Times New Roman" w:hAnsi="Times New Roman" w:cs="Times New Roman"/>
                <w:color w:val="auto"/>
                <w:sz w:val="20"/>
                <w:szCs w:val="20"/>
              </w:rPr>
            </w:pPr>
          </w:p>
        </w:tc>
        <w:tc>
          <w:tcPr>
            <w:tcW w:w="2179" w:type="dxa"/>
            <w:noWrap/>
            <w:hideMark/>
          </w:tcPr>
          <w:p w14:paraId="28F780F5" w14:textId="77777777" w:rsidR="005B7E3B" w:rsidRPr="005B7E3B" w:rsidRDefault="005B7E3B" w:rsidP="005B7E3B">
            <w:pPr>
              <w:spacing w:after="0" w:line="240" w:lineRule="auto"/>
              <w:ind w:left="0" w:firstLine="0"/>
              <w:rPr>
                <w:rFonts w:ascii="Times New Roman" w:eastAsia="Times New Roman" w:hAnsi="Times New Roman" w:cs="Times New Roman"/>
                <w:color w:val="auto"/>
                <w:sz w:val="20"/>
                <w:szCs w:val="20"/>
              </w:rPr>
            </w:pPr>
          </w:p>
        </w:tc>
      </w:tr>
      <w:tr w:rsidR="005B7E3B" w:rsidRPr="005B7E3B" w14:paraId="5DF76479" w14:textId="77777777" w:rsidTr="00D24732">
        <w:trPr>
          <w:trHeight w:val="326"/>
        </w:trPr>
        <w:tc>
          <w:tcPr>
            <w:tcW w:w="5719" w:type="dxa"/>
            <w:noWrap/>
            <w:hideMark/>
          </w:tcPr>
          <w:p w14:paraId="3A930974" w14:textId="77777777" w:rsidR="005B7E3B" w:rsidRPr="005B7E3B" w:rsidRDefault="005B7E3B" w:rsidP="005B7E3B">
            <w:pPr>
              <w:spacing w:after="0" w:line="240" w:lineRule="auto"/>
              <w:ind w:left="0" w:firstLine="0"/>
              <w:rPr>
                <w:rFonts w:eastAsia="Times New Roman"/>
                <w:sz w:val="24"/>
                <w:szCs w:val="24"/>
              </w:rPr>
            </w:pPr>
            <w:r w:rsidRPr="005B7E3B">
              <w:rPr>
                <w:rFonts w:eastAsia="Times New Roman"/>
                <w:sz w:val="24"/>
                <w:szCs w:val="24"/>
              </w:rPr>
              <w:t>Vanguard Total Stock Mkt Idx</w:t>
            </w:r>
          </w:p>
        </w:tc>
        <w:tc>
          <w:tcPr>
            <w:tcW w:w="2386" w:type="dxa"/>
            <w:noWrap/>
            <w:hideMark/>
          </w:tcPr>
          <w:p w14:paraId="35DE7657" w14:textId="77777777" w:rsidR="005B7E3B" w:rsidRPr="005B7E3B" w:rsidRDefault="005B7E3B" w:rsidP="005B7E3B">
            <w:pPr>
              <w:spacing w:after="0" w:line="240" w:lineRule="auto"/>
              <w:ind w:left="0" w:firstLine="0"/>
              <w:jc w:val="right"/>
              <w:rPr>
                <w:rFonts w:eastAsia="Times New Roman"/>
                <w:sz w:val="24"/>
                <w:szCs w:val="24"/>
              </w:rPr>
            </w:pPr>
            <w:r w:rsidRPr="005B7E3B">
              <w:rPr>
                <w:rFonts w:eastAsia="Times New Roman"/>
                <w:sz w:val="24"/>
                <w:szCs w:val="24"/>
              </w:rPr>
              <w:t>3625841</w:t>
            </w:r>
          </w:p>
        </w:tc>
        <w:tc>
          <w:tcPr>
            <w:tcW w:w="2179" w:type="dxa"/>
            <w:noWrap/>
            <w:hideMark/>
          </w:tcPr>
          <w:p w14:paraId="326EC139" w14:textId="751CE6F7" w:rsidR="005B7E3B" w:rsidRPr="005B7E3B" w:rsidRDefault="005B7E3B" w:rsidP="005B7E3B">
            <w:pPr>
              <w:spacing w:after="0" w:line="240" w:lineRule="auto"/>
              <w:ind w:left="0" w:firstLine="0"/>
              <w:jc w:val="right"/>
              <w:rPr>
                <w:rFonts w:eastAsia="Times New Roman"/>
                <w:sz w:val="24"/>
                <w:szCs w:val="24"/>
              </w:rPr>
            </w:pPr>
            <w:r w:rsidRPr="005B7E3B">
              <w:rPr>
                <w:rFonts w:eastAsia="Times New Roman"/>
                <w:sz w:val="24"/>
                <w:szCs w:val="24"/>
              </w:rPr>
              <w:t>2.36</w:t>
            </w:r>
            <w:r w:rsidR="005F359C">
              <w:rPr>
                <w:rFonts w:eastAsia="Times New Roman"/>
                <w:sz w:val="24"/>
                <w:szCs w:val="24"/>
              </w:rPr>
              <w:t>%</w:t>
            </w:r>
          </w:p>
        </w:tc>
      </w:tr>
      <w:tr w:rsidR="005B7E3B" w:rsidRPr="005B7E3B" w14:paraId="7840DAB1" w14:textId="77777777" w:rsidTr="00D24732">
        <w:trPr>
          <w:trHeight w:val="342"/>
        </w:trPr>
        <w:tc>
          <w:tcPr>
            <w:tcW w:w="5719" w:type="dxa"/>
            <w:noWrap/>
            <w:hideMark/>
          </w:tcPr>
          <w:p w14:paraId="76D65BB5" w14:textId="77777777" w:rsidR="005B7E3B" w:rsidRPr="005B7E3B" w:rsidRDefault="005B7E3B" w:rsidP="005B7E3B">
            <w:pPr>
              <w:spacing w:after="0" w:line="240" w:lineRule="auto"/>
              <w:ind w:left="0" w:firstLine="0"/>
              <w:jc w:val="right"/>
              <w:rPr>
                <w:rFonts w:eastAsia="Times New Roman"/>
                <w:sz w:val="24"/>
                <w:szCs w:val="24"/>
              </w:rPr>
            </w:pPr>
          </w:p>
        </w:tc>
        <w:tc>
          <w:tcPr>
            <w:tcW w:w="2386" w:type="dxa"/>
            <w:noWrap/>
            <w:hideMark/>
          </w:tcPr>
          <w:p w14:paraId="18892239" w14:textId="77777777" w:rsidR="005B7E3B" w:rsidRPr="005B7E3B" w:rsidRDefault="005B7E3B" w:rsidP="005B7E3B">
            <w:pPr>
              <w:spacing w:after="0" w:line="240" w:lineRule="auto"/>
              <w:ind w:left="0" w:firstLine="0"/>
              <w:rPr>
                <w:rFonts w:ascii="Times New Roman" w:eastAsia="Times New Roman" w:hAnsi="Times New Roman" w:cs="Times New Roman"/>
                <w:color w:val="auto"/>
                <w:sz w:val="20"/>
                <w:szCs w:val="20"/>
              </w:rPr>
            </w:pPr>
          </w:p>
        </w:tc>
        <w:tc>
          <w:tcPr>
            <w:tcW w:w="2179" w:type="dxa"/>
            <w:noWrap/>
            <w:hideMark/>
          </w:tcPr>
          <w:p w14:paraId="5FF294BC" w14:textId="77777777" w:rsidR="005B7E3B" w:rsidRPr="005B7E3B" w:rsidRDefault="005B7E3B" w:rsidP="005B7E3B">
            <w:pPr>
              <w:spacing w:after="0" w:line="240" w:lineRule="auto"/>
              <w:ind w:left="0" w:firstLine="0"/>
              <w:rPr>
                <w:rFonts w:ascii="Times New Roman" w:eastAsia="Times New Roman" w:hAnsi="Times New Roman" w:cs="Times New Roman"/>
                <w:color w:val="auto"/>
                <w:sz w:val="20"/>
                <w:szCs w:val="20"/>
              </w:rPr>
            </w:pPr>
          </w:p>
        </w:tc>
      </w:tr>
      <w:tr w:rsidR="005B7E3B" w:rsidRPr="005B7E3B" w14:paraId="2390A095" w14:textId="77777777" w:rsidTr="00D24732">
        <w:trPr>
          <w:trHeight w:val="342"/>
        </w:trPr>
        <w:tc>
          <w:tcPr>
            <w:tcW w:w="5719" w:type="dxa"/>
            <w:noWrap/>
            <w:hideMark/>
          </w:tcPr>
          <w:p w14:paraId="6B12B5CE" w14:textId="77777777" w:rsidR="005B7E3B" w:rsidRPr="005B7E3B" w:rsidRDefault="00B45295" w:rsidP="005B7E3B">
            <w:pPr>
              <w:spacing w:after="0" w:line="240" w:lineRule="auto"/>
              <w:ind w:left="0" w:firstLine="0"/>
              <w:rPr>
                <w:rFonts w:eastAsia="Times New Roman"/>
                <w:sz w:val="24"/>
                <w:szCs w:val="24"/>
              </w:rPr>
            </w:pPr>
            <w:hyperlink r:id="rId9" w:history="1">
              <w:r w:rsidR="005B7E3B" w:rsidRPr="005B7E3B">
                <w:rPr>
                  <w:rFonts w:eastAsia="Times New Roman"/>
                  <w:sz w:val="24"/>
                  <w:szCs w:val="24"/>
                </w:rPr>
                <w:t>Vanguard 500 Index Inv</w:t>
              </w:r>
            </w:hyperlink>
          </w:p>
        </w:tc>
        <w:tc>
          <w:tcPr>
            <w:tcW w:w="2386" w:type="dxa"/>
            <w:noWrap/>
            <w:hideMark/>
          </w:tcPr>
          <w:p w14:paraId="47D58344" w14:textId="77777777" w:rsidR="005B7E3B" w:rsidRPr="005B7E3B" w:rsidRDefault="005B7E3B" w:rsidP="005B7E3B">
            <w:pPr>
              <w:spacing w:after="0" w:line="240" w:lineRule="auto"/>
              <w:ind w:left="0" w:firstLine="0"/>
              <w:jc w:val="right"/>
              <w:rPr>
                <w:rFonts w:eastAsia="Times New Roman"/>
                <w:sz w:val="24"/>
                <w:szCs w:val="24"/>
              </w:rPr>
            </w:pPr>
            <w:r w:rsidRPr="005B7E3B">
              <w:rPr>
                <w:rFonts w:eastAsia="Times New Roman"/>
                <w:sz w:val="24"/>
                <w:szCs w:val="24"/>
              </w:rPr>
              <w:t>2532375</w:t>
            </w:r>
          </w:p>
        </w:tc>
        <w:tc>
          <w:tcPr>
            <w:tcW w:w="2179" w:type="dxa"/>
            <w:noWrap/>
            <w:hideMark/>
          </w:tcPr>
          <w:p w14:paraId="6519A30A" w14:textId="7A02C674" w:rsidR="005B7E3B" w:rsidRPr="005B7E3B" w:rsidRDefault="005B7E3B" w:rsidP="005B7E3B">
            <w:pPr>
              <w:spacing w:after="0" w:line="240" w:lineRule="auto"/>
              <w:ind w:left="0" w:firstLine="0"/>
              <w:jc w:val="right"/>
              <w:rPr>
                <w:rFonts w:eastAsia="Times New Roman"/>
                <w:sz w:val="24"/>
                <w:szCs w:val="24"/>
              </w:rPr>
            </w:pPr>
            <w:r w:rsidRPr="005B7E3B">
              <w:rPr>
                <w:rFonts w:eastAsia="Times New Roman"/>
                <w:sz w:val="24"/>
                <w:szCs w:val="24"/>
              </w:rPr>
              <w:t>1.65</w:t>
            </w:r>
            <w:r w:rsidR="005F359C">
              <w:rPr>
                <w:rFonts w:eastAsia="Times New Roman"/>
                <w:sz w:val="24"/>
                <w:szCs w:val="24"/>
              </w:rPr>
              <w:t>%</w:t>
            </w:r>
          </w:p>
        </w:tc>
      </w:tr>
      <w:tr w:rsidR="005B7E3B" w:rsidRPr="005B7E3B" w14:paraId="082FD0D2" w14:textId="77777777" w:rsidTr="00D24732">
        <w:trPr>
          <w:trHeight w:val="326"/>
        </w:trPr>
        <w:tc>
          <w:tcPr>
            <w:tcW w:w="5719" w:type="dxa"/>
            <w:noWrap/>
            <w:hideMark/>
          </w:tcPr>
          <w:p w14:paraId="7E6D47D2" w14:textId="77777777" w:rsidR="005B7E3B" w:rsidRPr="005B7E3B" w:rsidRDefault="005B7E3B" w:rsidP="005B7E3B">
            <w:pPr>
              <w:spacing w:after="0" w:line="240" w:lineRule="auto"/>
              <w:ind w:left="0" w:firstLine="0"/>
              <w:jc w:val="right"/>
              <w:rPr>
                <w:rFonts w:eastAsia="Times New Roman"/>
                <w:sz w:val="24"/>
                <w:szCs w:val="24"/>
              </w:rPr>
            </w:pPr>
          </w:p>
        </w:tc>
        <w:tc>
          <w:tcPr>
            <w:tcW w:w="2386" w:type="dxa"/>
            <w:noWrap/>
            <w:hideMark/>
          </w:tcPr>
          <w:p w14:paraId="41693F5F" w14:textId="77777777" w:rsidR="005B7E3B" w:rsidRPr="005B7E3B" w:rsidRDefault="005B7E3B" w:rsidP="005B7E3B">
            <w:pPr>
              <w:spacing w:after="0" w:line="240" w:lineRule="auto"/>
              <w:ind w:left="0" w:firstLine="0"/>
              <w:rPr>
                <w:rFonts w:ascii="Times New Roman" w:eastAsia="Times New Roman" w:hAnsi="Times New Roman" w:cs="Times New Roman"/>
                <w:color w:val="auto"/>
                <w:sz w:val="20"/>
                <w:szCs w:val="20"/>
              </w:rPr>
            </w:pPr>
          </w:p>
        </w:tc>
        <w:tc>
          <w:tcPr>
            <w:tcW w:w="2179" w:type="dxa"/>
            <w:noWrap/>
            <w:hideMark/>
          </w:tcPr>
          <w:p w14:paraId="7DB0F18E" w14:textId="77777777" w:rsidR="005B7E3B" w:rsidRPr="005B7E3B" w:rsidRDefault="005B7E3B" w:rsidP="005B7E3B">
            <w:pPr>
              <w:spacing w:after="0" w:line="240" w:lineRule="auto"/>
              <w:ind w:left="0" w:firstLine="0"/>
              <w:rPr>
                <w:rFonts w:ascii="Times New Roman" w:eastAsia="Times New Roman" w:hAnsi="Times New Roman" w:cs="Times New Roman"/>
                <w:color w:val="auto"/>
                <w:sz w:val="20"/>
                <w:szCs w:val="20"/>
              </w:rPr>
            </w:pPr>
          </w:p>
        </w:tc>
      </w:tr>
      <w:tr w:rsidR="005B7E3B" w:rsidRPr="005B7E3B" w14:paraId="238A578A" w14:textId="77777777" w:rsidTr="00D24732">
        <w:trPr>
          <w:trHeight w:val="326"/>
        </w:trPr>
        <w:tc>
          <w:tcPr>
            <w:tcW w:w="5719" w:type="dxa"/>
            <w:noWrap/>
            <w:hideMark/>
          </w:tcPr>
          <w:p w14:paraId="2D6AC20F" w14:textId="77777777" w:rsidR="005B7E3B" w:rsidRPr="005B7E3B" w:rsidRDefault="00B45295" w:rsidP="005B7E3B">
            <w:pPr>
              <w:spacing w:after="0" w:line="240" w:lineRule="auto"/>
              <w:ind w:left="0" w:firstLine="0"/>
              <w:rPr>
                <w:rFonts w:eastAsia="Times New Roman"/>
                <w:sz w:val="24"/>
                <w:szCs w:val="24"/>
              </w:rPr>
            </w:pPr>
            <w:hyperlink r:id="rId10" w:history="1">
              <w:r w:rsidR="005B7E3B" w:rsidRPr="005B7E3B">
                <w:rPr>
                  <w:rFonts w:eastAsia="Times New Roman"/>
                  <w:sz w:val="24"/>
                  <w:szCs w:val="24"/>
                </w:rPr>
                <w:t>Energy Select Sector SPDR® ETF</w:t>
              </w:r>
            </w:hyperlink>
          </w:p>
        </w:tc>
        <w:tc>
          <w:tcPr>
            <w:tcW w:w="2386" w:type="dxa"/>
            <w:noWrap/>
            <w:hideMark/>
          </w:tcPr>
          <w:p w14:paraId="73A39502" w14:textId="77777777" w:rsidR="005B7E3B" w:rsidRPr="005B7E3B" w:rsidRDefault="005B7E3B" w:rsidP="005B7E3B">
            <w:pPr>
              <w:spacing w:after="0" w:line="240" w:lineRule="auto"/>
              <w:ind w:left="0" w:firstLine="0"/>
              <w:jc w:val="right"/>
              <w:rPr>
                <w:rFonts w:eastAsia="Times New Roman"/>
                <w:sz w:val="24"/>
                <w:szCs w:val="24"/>
              </w:rPr>
            </w:pPr>
            <w:r w:rsidRPr="005B7E3B">
              <w:rPr>
                <w:rFonts w:eastAsia="Times New Roman"/>
                <w:sz w:val="24"/>
                <w:szCs w:val="24"/>
              </w:rPr>
              <w:t>1966945</w:t>
            </w:r>
          </w:p>
        </w:tc>
        <w:tc>
          <w:tcPr>
            <w:tcW w:w="2179" w:type="dxa"/>
            <w:noWrap/>
            <w:hideMark/>
          </w:tcPr>
          <w:p w14:paraId="65986C94" w14:textId="431305F1" w:rsidR="005B7E3B" w:rsidRPr="005B7E3B" w:rsidRDefault="005B7E3B" w:rsidP="005B7E3B">
            <w:pPr>
              <w:spacing w:after="0" w:line="240" w:lineRule="auto"/>
              <w:ind w:left="0" w:firstLine="0"/>
              <w:jc w:val="right"/>
              <w:rPr>
                <w:rFonts w:eastAsia="Times New Roman"/>
                <w:sz w:val="24"/>
                <w:szCs w:val="24"/>
              </w:rPr>
            </w:pPr>
            <w:r w:rsidRPr="005B7E3B">
              <w:rPr>
                <w:rFonts w:eastAsia="Times New Roman"/>
                <w:sz w:val="24"/>
                <w:szCs w:val="24"/>
              </w:rPr>
              <w:t>1.36</w:t>
            </w:r>
            <w:r w:rsidR="005F359C">
              <w:rPr>
                <w:rFonts w:eastAsia="Times New Roman"/>
                <w:sz w:val="24"/>
                <w:szCs w:val="24"/>
              </w:rPr>
              <w:t>%</w:t>
            </w:r>
          </w:p>
        </w:tc>
      </w:tr>
      <w:tr w:rsidR="005B7E3B" w:rsidRPr="005B7E3B" w14:paraId="7168A564" w14:textId="77777777" w:rsidTr="00D24732">
        <w:trPr>
          <w:trHeight w:val="326"/>
        </w:trPr>
        <w:tc>
          <w:tcPr>
            <w:tcW w:w="5719" w:type="dxa"/>
            <w:noWrap/>
            <w:hideMark/>
          </w:tcPr>
          <w:p w14:paraId="0D4D0095" w14:textId="77777777" w:rsidR="005B7E3B" w:rsidRPr="005B7E3B" w:rsidRDefault="005B7E3B" w:rsidP="005B7E3B">
            <w:pPr>
              <w:spacing w:after="0" w:line="240" w:lineRule="auto"/>
              <w:ind w:left="0" w:firstLine="0"/>
              <w:jc w:val="right"/>
              <w:rPr>
                <w:rFonts w:eastAsia="Times New Roman"/>
                <w:sz w:val="24"/>
                <w:szCs w:val="24"/>
              </w:rPr>
            </w:pPr>
          </w:p>
        </w:tc>
        <w:tc>
          <w:tcPr>
            <w:tcW w:w="2386" w:type="dxa"/>
            <w:noWrap/>
            <w:hideMark/>
          </w:tcPr>
          <w:p w14:paraId="5E1C177D" w14:textId="77777777" w:rsidR="005B7E3B" w:rsidRPr="005B7E3B" w:rsidRDefault="005B7E3B" w:rsidP="005B7E3B">
            <w:pPr>
              <w:spacing w:after="0" w:line="240" w:lineRule="auto"/>
              <w:ind w:left="0" w:firstLine="0"/>
              <w:rPr>
                <w:rFonts w:ascii="Times New Roman" w:eastAsia="Times New Roman" w:hAnsi="Times New Roman" w:cs="Times New Roman"/>
                <w:color w:val="auto"/>
                <w:sz w:val="20"/>
                <w:szCs w:val="20"/>
              </w:rPr>
            </w:pPr>
          </w:p>
        </w:tc>
        <w:tc>
          <w:tcPr>
            <w:tcW w:w="2179" w:type="dxa"/>
            <w:noWrap/>
            <w:hideMark/>
          </w:tcPr>
          <w:p w14:paraId="76BDFB8F" w14:textId="77777777" w:rsidR="005B7E3B" w:rsidRPr="005B7E3B" w:rsidRDefault="005B7E3B" w:rsidP="005B7E3B">
            <w:pPr>
              <w:spacing w:after="0" w:line="240" w:lineRule="auto"/>
              <w:ind w:left="0" w:firstLine="0"/>
              <w:rPr>
                <w:rFonts w:ascii="Times New Roman" w:eastAsia="Times New Roman" w:hAnsi="Times New Roman" w:cs="Times New Roman"/>
                <w:color w:val="auto"/>
                <w:sz w:val="20"/>
                <w:szCs w:val="20"/>
              </w:rPr>
            </w:pPr>
          </w:p>
        </w:tc>
      </w:tr>
      <w:tr w:rsidR="005B7E3B" w:rsidRPr="005B7E3B" w14:paraId="79069138" w14:textId="77777777" w:rsidTr="00D24732">
        <w:trPr>
          <w:trHeight w:val="326"/>
        </w:trPr>
        <w:tc>
          <w:tcPr>
            <w:tcW w:w="5719" w:type="dxa"/>
            <w:noWrap/>
            <w:hideMark/>
          </w:tcPr>
          <w:p w14:paraId="569DE4B0" w14:textId="77777777" w:rsidR="005B7E3B" w:rsidRPr="005B7E3B" w:rsidRDefault="00B45295" w:rsidP="005B7E3B">
            <w:pPr>
              <w:spacing w:after="0" w:line="240" w:lineRule="auto"/>
              <w:ind w:left="0" w:firstLine="0"/>
              <w:rPr>
                <w:rFonts w:eastAsia="Times New Roman"/>
                <w:sz w:val="24"/>
                <w:szCs w:val="24"/>
              </w:rPr>
            </w:pPr>
            <w:hyperlink r:id="rId11" w:history="1">
              <w:r w:rsidR="005B7E3B" w:rsidRPr="005B7E3B">
                <w:rPr>
                  <w:rFonts w:eastAsia="Times New Roman"/>
                  <w:sz w:val="24"/>
                  <w:szCs w:val="24"/>
                </w:rPr>
                <w:t>JHancock Disciplined Value I</w:t>
              </w:r>
            </w:hyperlink>
          </w:p>
        </w:tc>
        <w:tc>
          <w:tcPr>
            <w:tcW w:w="2386" w:type="dxa"/>
            <w:noWrap/>
            <w:hideMark/>
          </w:tcPr>
          <w:p w14:paraId="025B1B6B" w14:textId="77777777" w:rsidR="005B7E3B" w:rsidRPr="005B7E3B" w:rsidRDefault="005B7E3B" w:rsidP="005B7E3B">
            <w:pPr>
              <w:spacing w:after="0" w:line="240" w:lineRule="auto"/>
              <w:ind w:left="0" w:firstLine="0"/>
              <w:jc w:val="right"/>
              <w:rPr>
                <w:rFonts w:eastAsia="Times New Roman"/>
                <w:sz w:val="24"/>
                <w:szCs w:val="24"/>
              </w:rPr>
            </w:pPr>
            <w:r w:rsidRPr="005B7E3B">
              <w:rPr>
                <w:rFonts w:eastAsia="Times New Roman"/>
                <w:sz w:val="24"/>
                <w:szCs w:val="24"/>
              </w:rPr>
              <w:t>2074167</w:t>
            </w:r>
          </w:p>
        </w:tc>
        <w:tc>
          <w:tcPr>
            <w:tcW w:w="2179" w:type="dxa"/>
            <w:noWrap/>
            <w:hideMark/>
          </w:tcPr>
          <w:p w14:paraId="7C37856D" w14:textId="4896AC36" w:rsidR="005B7E3B" w:rsidRPr="005B7E3B" w:rsidRDefault="005B7E3B" w:rsidP="005B7E3B">
            <w:pPr>
              <w:spacing w:after="0" w:line="240" w:lineRule="auto"/>
              <w:ind w:left="0" w:firstLine="0"/>
              <w:jc w:val="right"/>
              <w:rPr>
                <w:rFonts w:eastAsia="Times New Roman"/>
                <w:sz w:val="24"/>
                <w:szCs w:val="24"/>
              </w:rPr>
            </w:pPr>
            <w:r w:rsidRPr="005B7E3B">
              <w:rPr>
                <w:rFonts w:eastAsia="Times New Roman"/>
                <w:sz w:val="24"/>
                <w:szCs w:val="24"/>
              </w:rPr>
              <w:t>1.35</w:t>
            </w:r>
            <w:r w:rsidR="005F359C">
              <w:rPr>
                <w:rFonts w:eastAsia="Times New Roman"/>
                <w:sz w:val="24"/>
                <w:szCs w:val="24"/>
              </w:rPr>
              <w:t>%</w:t>
            </w:r>
          </w:p>
        </w:tc>
      </w:tr>
      <w:tr w:rsidR="005B7E3B" w:rsidRPr="005B7E3B" w14:paraId="01D744EF" w14:textId="77777777" w:rsidTr="00D24732">
        <w:trPr>
          <w:trHeight w:val="326"/>
        </w:trPr>
        <w:tc>
          <w:tcPr>
            <w:tcW w:w="5719" w:type="dxa"/>
            <w:noWrap/>
            <w:hideMark/>
          </w:tcPr>
          <w:p w14:paraId="0BFE1466" w14:textId="77777777" w:rsidR="005B7E3B" w:rsidRPr="005B7E3B" w:rsidRDefault="005B7E3B" w:rsidP="005B7E3B">
            <w:pPr>
              <w:spacing w:after="0" w:line="240" w:lineRule="auto"/>
              <w:ind w:left="0" w:firstLine="0"/>
              <w:jc w:val="right"/>
              <w:rPr>
                <w:rFonts w:eastAsia="Times New Roman"/>
                <w:sz w:val="24"/>
                <w:szCs w:val="24"/>
              </w:rPr>
            </w:pPr>
          </w:p>
        </w:tc>
        <w:tc>
          <w:tcPr>
            <w:tcW w:w="2386" w:type="dxa"/>
            <w:noWrap/>
            <w:hideMark/>
          </w:tcPr>
          <w:p w14:paraId="2D6134B1" w14:textId="77777777" w:rsidR="005B7E3B" w:rsidRPr="005B7E3B" w:rsidRDefault="005B7E3B" w:rsidP="005B7E3B">
            <w:pPr>
              <w:spacing w:after="0" w:line="240" w:lineRule="auto"/>
              <w:ind w:left="0" w:firstLine="0"/>
              <w:rPr>
                <w:rFonts w:ascii="Times New Roman" w:eastAsia="Times New Roman" w:hAnsi="Times New Roman" w:cs="Times New Roman"/>
                <w:color w:val="auto"/>
                <w:sz w:val="20"/>
                <w:szCs w:val="20"/>
              </w:rPr>
            </w:pPr>
          </w:p>
        </w:tc>
        <w:tc>
          <w:tcPr>
            <w:tcW w:w="2179" w:type="dxa"/>
            <w:noWrap/>
            <w:hideMark/>
          </w:tcPr>
          <w:p w14:paraId="052F4784" w14:textId="77777777" w:rsidR="005B7E3B" w:rsidRPr="005B7E3B" w:rsidRDefault="005B7E3B" w:rsidP="005B7E3B">
            <w:pPr>
              <w:spacing w:after="0" w:line="240" w:lineRule="auto"/>
              <w:ind w:left="0" w:firstLine="0"/>
              <w:rPr>
                <w:rFonts w:ascii="Times New Roman" w:eastAsia="Times New Roman" w:hAnsi="Times New Roman" w:cs="Times New Roman"/>
                <w:color w:val="auto"/>
                <w:sz w:val="20"/>
                <w:szCs w:val="20"/>
              </w:rPr>
            </w:pPr>
          </w:p>
        </w:tc>
      </w:tr>
    </w:tbl>
    <w:p w14:paraId="4B6812A6" w14:textId="77777777" w:rsidR="004011EE" w:rsidRDefault="004011EE"/>
    <w:sectPr w:rsidR="004011EE">
      <w:headerReference w:type="even" r:id="rId12"/>
      <w:headerReference w:type="default" r:id="rId13"/>
      <w:footerReference w:type="even" r:id="rId14"/>
      <w:footerReference w:type="default" r:id="rId15"/>
      <w:headerReference w:type="first" r:id="rId16"/>
      <w:footerReference w:type="first" r:id="rId17"/>
      <w:pgSz w:w="12240" w:h="15840"/>
      <w:pgMar w:top="1507" w:right="1451" w:bottom="1470" w:left="1440" w:header="77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F545B" w14:textId="77777777" w:rsidR="004011EE" w:rsidRDefault="0059202B">
      <w:pPr>
        <w:spacing w:after="0" w:line="240" w:lineRule="auto"/>
      </w:pPr>
      <w:r>
        <w:separator/>
      </w:r>
    </w:p>
  </w:endnote>
  <w:endnote w:type="continuationSeparator" w:id="0">
    <w:p w14:paraId="6C991545" w14:textId="77777777" w:rsidR="004011EE" w:rsidRDefault="0059202B">
      <w:pPr>
        <w:spacing w:after="0" w:line="240" w:lineRule="auto"/>
      </w:pPr>
      <w:r>
        <w:continuationSeparator/>
      </w:r>
    </w:p>
  </w:endnote>
  <w:endnote w:type="continuationNotice" w:id="1">
    <w:p w14:paraId="5A07F520" w14:textId="77777777" w:rsidR="00726989" w:rsidRDefault="007269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arlow Soli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47359" w14:textId="77777777" w:rsidR="008C3F1B" w:rsidRDefault="0059202B">
    <w:pPr>
      <w:spacing w:after="0" w:line="259" w:lineRule="auto"/>
      <w:ind w:left="2309" w:firstLine="0"/>
    </w:pPr>
    <w:r>
      <w:rPr>
        <w:noProof/>
      </w:rPr>
      <mc:AlternateContent>
        <mc:Choice Requires="wpg">
          <w:drawing>
            <wp:anchor distT="0" distB="0" distL="114300" distR="114300" simplePos="0" relativeHeight="251658243" behindDoc="0" locked="0" layoutInCell="1" allowOverlap="1" wp14:anchorId="62B17F9B" wp14:editId="4E795472">
              <wp:simplePos x="0" y="0"/>
              <wp:positionH relativeFrom="page">
                <wp:posOffset>896417</wp:posOffset>
              </wp:positionH>
              <wp:positionV relativeFrom="page">
                <wp:posOffset>9180271</wp:posOffset>
              </wp:positionV>
              <wp:extent cx="5981065" cy="38100"/>
              <wp:effectExtent l="0" t="0" r="0" b="0"/>
              <wp:wrapSquare wrapText="bothSides"/>
              <wp:docPr id="12683" name="Group 12683"/>
              <wp:cNvGraphicFramePr/>
              <a:graphic xmlns:a="http://schemas.openxmlformats.org/drawingml/2006/main">
                <a:graphicData uri="http://schemas.microsoft.com/office/word/2010/wordprocessingGroup">
                  <wpg:wgp>
                    <wpg:cNvGrpSpPr/>
                    <wpg:grpSpPr>
                      <a:xfrm>
                        <a:off x="0" y="0"/>
                        <a:ext cx="5981065" cy="38100"/>
                        <a:chOff x="0" y="0"/>
                        <a:chExt cx="5981065" cy="38100"/>
                      </a:xfrm>
                    </wpg:grpSpPr>
                    <wps:wsp>
                      <wps:cNvPr id="13278" name="Shape 13278"/>
                      <wps:cNvSpPr/>
                      <wps:spPr>
                        <a:xfrm>
                          <a:off x="0" y="0"/>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anchor>
          </w:drawing>
        </mc:Choice>
        <mc:Fallback>
          <w:pict>
            <v:group w14:anchorId="180E62D6" id="Group 12683" o:spid="_x0000_s1026" style="position:absolute;margin-left:70.6pt;margin-top:722.85pt;width:470.95pt;height:3pt;z-index:251658243;mso-position-horizontal-relative:page;mso-position-vertical-relative:page" coordsize="5981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">
              <v:shape id="Shape 13278" o:spid="_x0000_s1027" style="position:absolute;width:59810;height:381;visibility:visible;mso-wrap-style:square;v-text-anchor:top" coordsize="598106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" path="m,l5981065,r,38100l,38100,,e" fillcolor="#ffc000" stroked="f" strokeweight="0">
                <v:stroke miterlimit="83231f" joinstyle="miter"/>
                <v:path arrowok="t" textboxrect="0,0,5981065,38100"/>
              </v:shape>
              <w10:wrap type="square" anchorx="page" anchory="page"/>
            </v:group>
          </w:pict>
        </mc:Fallback>
      </mc:AlternateContent>
    </w:r>
    <w:r>
      <w:rPr>
        <w:i/>
        <w:sz w:val="24"/>
      </w:rPr>
      <w:t xml:space="preserve">Excellence.  Our Measure.  Our Motto.  Our Goal. </w:t>
    </w:r>
  </w:p>
  <w:p w14:paraId="5E8A1F08" w14:textId="77777777" w:rsidR="008C3F1B" w:rsidRDefault="0059202B">
    <w:pPr>
      <w:tabs>
        <w:tab w:val="center" w:pos="4681"/>
        <w:tab w:val="right" w:pos="9348"/>
      </w:tabs>
      <w:spacing w:after="0" w:line="259" w:lineRule="auto"/>
      <w:ind w:left="0" w:right="-15" w:firstLine="0"/>
    </w:pPr>
    <w:r>
      <w:rPr>
        <w:i/>
        <w:sz w:val="24"/>
      </w:rPr>
      <w:t xml:space="preserve"> </w:t>
    </w:r>
    <w:r>
      <w:rPr>
        <w:i/>
        <w:sz w:val="24"/>
      </w:rPr>
      <w:tab/>
      <w:t xml:space="preserve"> </w:t>
    </w:r>
    <w:r>
      <w:rPr>
        <w:i/>
        <w:sz w:val="24"/>
      </w:rPr>
      <w:tab/>
      <w:t xml:space="preserve"> </w:t>
    </w:r>
    <w:r>
      <w:rPr>
        <w:i/>
        <w:color w:val="7F7F7F"/>
        <w:sz w:val="24"/>
      </w:rPr>
      <w:t>P a g e</w:t>
    </w:r>
    <w:r>
      <w:rPr>
        <w:i/>
        <w:sz w:val="24"/>
      </w:rPr>
      <w:t xml:space="preserve"> | </w:t>
    </w:r>
    <w:r>
      <w:fldChar w:fldCharType="begin"/>
    </w:r>
    <w:r>
      <w:instrText xml:space="preserve"> PAGE   \* MERGEFORMAT </w:instrText>
    </w:r>
    <w:r>
      <w:fldChar w:fldCharType="separate"/>
    </w:r>
    <w:r>
      <w:rPr>
        <w:b/>
        <w:i/>
        <w:sz w:val="24"/>
      </w:rPr>
      <w:t>1</w:t>
    </w:r>
    <w:r>
      <w:rPr>
        <w:b/>
        <w:i/>
        <w:sz w:val="24"/>
      </w:rPr>
      <w:fldChar w:fldCharType="end"/>
    </w:r>
    <w:r>
      <w:rPr>
        <w:i/>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E081F" w14:textId="77777777" w:rsidR="008C3F1B" w:rsidRDefault="0059202B">
    <w:pPr>
      <w:spacing w:after="0" w:line="259" w:lineRule="auto"/>
      <w:ind w:left="2309" w:firstLine="0"/>
    </w:pPr>
    <w:r>
      <w:rPr>
        <w:noProof/>
      </w:rPr>
      <mc:AlternateContent>
        <mc:Choice Requires="wpg">
          <w:drawing>
            <wp:anchor distT="0" distB="0" distL="114300" distR="114300" simplePos="0" relativeHeight="251828736" behindDoc="0" locked="0" layoutInCell="1" allowOverlap="1" wp14:anchorId="1FA96BEA" wp14:editId="419DA2F6">
              <wp:simplePos x="0" y="0"/>
              <wp:positionH relativeFrom="page">
                <wp:posOffset>896417</wp:posOffset>
              </wp:positionH>
              <wp:positionV relativeFrom="page">
                <wp:posOffset>9180271</wp:posOffset>
              </wp:positionV>
              <wp:extent cx="5981065" cy="38100"/>
              <wp:effectExtent l="0" t="0" r="0" b="0"/>
              <wp:wrapSquare wrapText="bothSides"/>
              <wp:docPr id="12642" name="Group 12642"/>
              <wp:cNvGraphicFramePr/>
              <a:graphic xmlns:a="http://schemas.openxmlformats.org/drawingml/2006/main">
                <a:graphicData uri="http://schemas.microsoft.com/office/word/2010/wordprocessingGroup">
                  <wpg:wgp>
                    <wpg:cNvGrpSpPr/>
                    <wpg:grpSpPr>
                      <a:xfrm>
                        <a:off x="0" y="0"/>
                        <a:ext cx="5981065" cy="38100"/>
                        <a:chOff x="0" y="0"/>
                        <a:chExt cx="5981065" cy="38100"/>
                      </a:xfrm>
                    </wpg:grpSpPr>
                    <wps:wsp>
                      <wps:cNvPr id="13276" name="Shape 13276"/>
                      <wps:cNvSpPr/>
                      <wps:spPr>
                        <a:xfrm>
                          <a:off x="0" y="0"/>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anchor>
          </w:drawing>
        </mc:Choice>
        <mc:Fallback>
          <w:pict>
            <v:group w14:anchorId="552D8710" id="Group 12642" o:spid="_x0000_s1026" style="position:absolute;margin-left:70.6pt;margin-top:722.85pt;width:470.95pt;height:3pt;z-index:251828736;mso-position-horizontal-relative:page;mso-position-vertical-relative:page" coordsize="5981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">
              <v:shape id="Shape 13276" o:spid="_x0000_s1027" style="position:absolute;width:59810;height:381;visibility:visible;mso-wrap-style:square;v-text-anchor:top" coordsize="598106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" path="m,l5981065,r,38100l,38100,,e" fillcolor="#ffc000" stroked="f" strokeweight="0">
                <v:stroke miterlimit="83231f" joinstyle="miter"/>
                <v:path arrowok="t" textboxrect="0,0,5981065,38100"/>
              </v:shape>
              <w10:wrap type="square" anchorx="page" anchory="page"/>
            </v:group>
          </w:pict>
        </mc:Fallback>
      </mc:AlternateContent>
    </w:r>
    <w:r>
      <w:rPr>
        <w:i/>
        <w:sz w:val="24"/>
      </w:rPr>
      <w:t xml:space="preserve">Excellence.  Our Measure.  Our Motto.  Our Goal. </w:t>
    </w:r>
  </w:p>
  <w:p w14:paraId="0A1A8560" w14:textId="5BC62B6D" w:rsidR="008C3F1B" w:rsidRDefault="0059202B">
    <w:pPr>
      <w:tabs>
        <w:tab w:val="center" w:pos="4681"/>
        <w:tab w:val="right" w:pos="9348"/>
      </w:tabs>
      <w:spacing w:after="0" w:line="259" w:lineRule="auto"/>
      <w:ind w:left="0" w:right="-15" w:firstLine="0"/>
    </w:pPr>
    <w:r>
      <w:rPr>
        <w:i/>
        <w:sz w:val="24"/>
      </w:rPr>
      <w:t xml:space="preserve"> </w:t>
    </w:r>
    <w:r>
      <w:rPr>
        <w:i/>
        <w:sz w:val="24"/>
      </w:rPr>
      <w:tab/>
      <w:t xml:space="preserve"> </w:t>
    </w:r>
    <w:r>
      <w:rPr>
        <w:i/>
        <w:sz w:val="24"/>
      </w:rPr>
      <w:tab/>
      <w:t xml:space="preserve"> </w:t>
    </w:r>
    <w:r>
      <w:rPr>
        <w:i/>
        <w:color w:val="7F7F7F"/>
        <w:sz w:val="24"/>
      </w:rPr>
      <w:t>P a g e</w:t>
    </w:r>
    <w:r>
      <w:rPr>
        <w:i/>
        <w:sz w:val="24"/>
      </w:rPr>
      <w:t xml:space="preserve"> | </w:t>
    </w:r>
    <w:r>
      <w:fldChar w:fldCharType="begin"/>
    </w:r>
    <w:r>
      <w:instrText xml:space="preserve"> PAGE   \* MERGEFORMAT </w:instrText>
    </w:r>
    <w:r>
      <w:fldChar w:fldCharType="separate"/>
    </w:r>
    <w:r w:rsidRPr="0059202B">
      <w:rPr>
        <w:b/>
        <w:i/>
        <w:noProof/>
        <w:sz w:val="24"/>
      </w:rPr>
      <w:t>2</w:t>
    </w:r>
    <w:r>
      <w:rPr>
        <w:b/>
        <w:i/>
        <w:sz w:val="24"/>
      </w:rPr>
      <w:fldChar w:fldCharType="end"/>
    </w:r>
    <w:r>
      <w:rPr>
        <w:i/>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21648" w14:textId="77777777" w:rsidR="008C3F1B" w:rsidRDefault="0059202B">
    <w:pPr>
      <w:spacing w:after="0" w:line="259" w:lineRule="auto"/>
      <w:ind w:left="2309" w:firstLine="0"/>
    </w:pPr>
    <w:r>
      <w:rPr>
        <w:noProof/>
      </w:rPr>
      <mc:AlternateContent>
        <mc:Choice Requires="wpg">
          <w:drawing>
            <wp:anchor distT="0" distB="0" distL="114300" distR="114300" simplePos="0" relativeHeight="251658245" behindDoc="0" locked="0" layoutInCell="1" allowOverlap="1" wp14:anchorId="3E181B9A" wp14:editId="3DE7C75A">
              <wp:simplePos x="0" y="0"/>
              <wp:positionH relativeFrom="page">
                <wp:posOffset>896417</wp:posOffset>
              </wp:positionH>
              <wp:positionV relativeFrom="page">
                <wp:posOffset>9180271</wp:posOffset>
              </wp:positionV>
              <wp:extent cx="5981065" cy="38100"/>
              <wp:effectExtent l="0" t="0" r="0" b="0"/>
              <wp:wrapSquare wrapText="bothSides"/>
              <wp:docPr id="12601" name="Group 12601"/>
              <wp:cNvGraphicFramePr/>
              <a:graphic xmlns:a="http://schemas.openxmlformats.org/drawingml/2006/main">
                <a:graphicData uri="http://schemas.microsoft.com/office/word/2010/wordprocessingGroup">
                  <wpg:wgp>
                    <wpg:cNvGrpSpPr/>
                    <wpg:grpSpPr>
                      <a:xfrm>
                        <a:off x="0" y="0"/>
                        <a:ext cx="5981065" cy="38100"/>
                        <a:chOff x="0" y="0"/>
                        <a:chExt cx="5981065" cy="38100"/>
                      </a:xfrm>
                    </wpg:grpSpPr>
                    <wps:wsp>
                      <wps:cNvPr id="13274" name="Shape 13274"/>
                      <wps:cNvSpPr/>
                      <wps:spPr>
                        <a:xfrm>
                          <a:off x="0" y="0"/>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anchor>
          </w:drawing>
        </mc:Choice>
        <mc:Fallback>
          <w:pict>
            <v:group w14:anchorId="0BF8E3B1" id="Group 12601" o:spid="_x0000_s1026" style="position:absolute;margin-left:70.6pt;margin-top:722.85pt;width:470.95pt;height:3pt;z-index:251658245;mso-position-horizontal-relative:page;mso-position-vertical-relative:page" coordsize="5981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">
              <v:shape id="Shape 13274" o:spid="_x0000_s1027" style="position:absolute;width:59810;height:381;visibility:visible;mso-wrap-style:square;v-text-anchor:top" coordsize="598106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" path="m,l5981065,r,38100l,38100,,e" fillcolor="#ffc000" stroked="f" strokeweight="0">
                <v:stroke miterlimit="83231f" joinstyle="miter"/>
                <v:path arrowok="t" textboxrect="0,0,5981065,38100"/>
              </v:shape>
              <w10:wrap type="square" anchorx="page" anchory="page"/>
            </v:group>
          </w:pict>
        </mc:Fallback>
      </mc:AlternateContent>
    </w:r>
    <w:r>
      <w:rPr>
        <w:i/>
        <w:sz w:val="24"/>
      </w:rPr>
      <w:t xml:space="preserve">Excellence.  Our Measure.  Our Motto.  Our Goal. </w:t>
    </w:r>
  </w:p>
  <w:p w14:paraId="216D7830" w14:textId="77777777" w:rsidR="008C3F1B" w:rsidRDefault="0059202B">
    <w:pPr>
      <w:tabs>
        <w:tab w:val="center" w:pos="4681"/>
        <w:tab w:val="right" w:pos="9348"/>
      </w:tabs>
      <w:spacing w:after="0" w:line="259" w:lineRule="auto"/>
      <w:ind w:left="0" w:right="-15" w:firstLine="0"/>
    </w:pPr>
    <w:r>
      <w:rPr>
        <w:i/>
        <w:sz w:val="24"/>
      </w:rPr>
      <w:t xml:space="preserve"> </w:t>
    </w:r>
    <w:r>
      <w:rPr>
        <w:i/>
        <w:sz w:val="24"/>
      </w:rPr>
      <w:tab/>
      <w:t xml:space="preserve"> </w:t>
    </w:r>
    <w:r>
      <w:rPr>
        <w:i/>
        <w:sz w:val="24"/>
      </w:rPr>
      <w:tab/>
      <w:t xml:space="preserve"> </w:t>
    </w:r>
    <w:r>
      <w:rPr>
        <w:i/>
        <w:color w:val="7F7F7F"/>
        <w:sz w:val="24"/>
      </w:rPr>
      <w:t>P a g e</w:t>
    </w:r>
    <w:r>
      <w:rPr>
        <w:i/>
        <w:sz w:val="24"/>
      </w:rPr>
      <w:t xml:space="preserve"> | </w:t>
    </w:r>
    <w:r>
      <w:fldChar w:fldCharType="begin"/>
    </w:r>
    <w:r>
      <w:instrText xml:space="preserve"> PAGE   \* MERGEFORMAT </w:instrText>
    </w:r>
    <w:r>
      <w:fldChar w:fldCharType="separate"/>
    </w:r>
    <w:r>
      <w:rPr>
        <w:b/>
        <w:i/>
        <w:sz w:val="24"/>
      </w:rPr>
      <w:t>1</w:t>
    </w:r>
    <w:r>
      <w:rPr>
        <w:b/>
        <w:i/>
        <w:sz w:val="24"/>
      </w:rPr>
      <w:fldChar w:fldCharType="end"/>
    </w:r>
    <w:r>
      <w:rPr>
        <w:i/>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A9C2F" w14:textId="77777777" w:rsidR="004011EE" w:rsidRDefault="0059202B">
      <w:pPr>
        <w:spacing w:after="0" w:line="240" w:lineRule="auto"/>
      </w:pPr>
      <w:r>
        <w:separator/>
      </w:r>
    </w:p>
  </w:footnote>
  <w:footnote w:type="continuationSeparator" w:id="0">
    <w:p w14:paraId="05437E36" w14:textId="77777777" w:rsidR="004011EE" w:rsidRDefault="0059202B">
      <w:pPr>
        <w:spacing w:after="0" w:line="240" w:lineRule="auto"/>
      </w:pPr>
      <w:r>
        <w:continuationSeparator/>
      </w:r>
    </w:p>
  </w:footnote>
  <w:footnote w:type="continuationNotice" w:id="1">
    <w:p w14:paraId="7E2BE9C0" w14:textId="77777777" w:rsidR="00726989" w:rsidRDefault="007269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D4A3D" w14:textId="77777777" w:rsidR="008C3F1B" w:rsidRDefault="0059202B">
    <w:pPr>
      <w:tabs>
        <w:tab w:val="right" w:pos="9348"/>
      </w:tabs>
      <w:spacing w:after="119" w:line="259" w:lineRule="auto"/>
      <w:ind w:left="0" w:right="-14" w:firstLine="0"/>
    </w:pPr>
    <w:r>
      <w:rPr>
        <w:noProof/>
      </w:rPr>
      <mc:AlternateContent>
        <mc:Choice Requires="wpg">
          <w:drawing>
            <wp:anchor distT="0" distB="0" distL="114300" distR="114300" simplePos="0" relativeHeight="251658240" behindDoc="0" locked="0" layoutInCell="1" allowOverlap="1" wp14:anchorId="6CB6CC82" wp14:editId="3BD098DB">
              <wp:simplePos x="0" y="0"/>
              <wp:positionH relativeFrom="page">
                <wp:posOffset>896417</wp:posOffset>
              </wp:positionH>
              <wp:positionV relativeFrom="page">
                <wp:posOffset>696468</wp:posOffset>
              </wp:positionV>
              <wp:extent cx="5981065" cy="56388"/>
              <wp:effectExtent l="0" t="0" r="0" b="0"/>
              <wp:wrapSquare wrapText="bothSides"/>
              <wp:docPr id="12670" name="Group 12670"/>
              <wp:cNvGraphicFramePr/>
              <a:graphic xmlns:a="http://schemas.openxmlformats.org/drawingml/2006/main">
                <a:graphicData uri="http://schemas.microsoft.com/office/word/2010/wordprocessingGroup">
                  <wpg:wgp>
                    <wpg:cNvGrpSpPr/>
                    <wpg:grpSpPr>
                      <a:xfrm>
                        <a:off x="0" y="0"/>
                        <a:ext cx="5981065" cy="56388"/>
                        <a:chOff x="0" y="0"/>
                        <a:chExt cx="5981065" cy="56388"/>
                      </a:xfrm>
                    </wpg:grpSpPr>
                    <wps:wsp>
                      <wps:cNvPr id="13270" name="Shape 13270"/>
                      <wps:cNvSpPr/>
                      <wps:spPr>
                        <a:xfrm>
                          <a:off x="0" y="18288"/>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3271" name="Shape 13271"/>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anchor>
          </w:drawing>
        </mc:Choice>
        <mc:Fallback>
          <w:pict>
            <v:group w14:anchorId="7DFBF23E" id="Group 12670" o:spid="_x0000_s1026" style="position:absolute;margin-left:70.6pt;margin-top:54.85pt;width:470.95pt;height:4.45pt;z-index:251658240;mso-position-horizontal-relative:page;mso-position-vertical-relative:page" coordsize="5981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">
              <v:shape id="Shape 13270" o:spid="_x0000_s1027" style="position:absolute;top:182;width:59810;height:381;visibility:visible;mso-wrap-style:square;v-text-anchor:top" coordsize="598106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" path="m,l5981065,r,38100l,38100,,e" fillcolor="#ffc000" stroked="f" strokeweight="0">
                <v:stroke miterlimit="83231f" joinstyle="miter"/>
                <v:path arrowok="t" textboxrect="0,0,5981065,38100"/>
              </v:shape>
              <v:shape id="Shape 13271" o:spid="_x0000_s1028"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" path="m,l5981065,r,9144l,9144,,e" fillcolor="#ffc000" stroked="f" strokeweight="0">
                <v:stroke miterlimit="83231f" joinstyle="miter"/>
                <v:path arrowok="t" textboxrect="0,0,5981065,9144"/>
              </v:shape>
              <w10:wrap type="square" anchorx="page" anchory="page"/>
            </v:group>
          </w:pict>
        </mc:Fallback>
      </mc:AlternateContent>
    </w:r>
    <w:r>
      <w:rPr>
        <w:rFonts w:ascii="Arial" w:eastAsia="Arial" w:hAnsi="Arial" w:cs="Arial"/>
        <w:b/>
        <w:color w:val="2F5496"/>
        <w:sz w:val="24"/>
      </w:rPr>
      <w:t xml:space="preserve">UWEC </w:t>
    </w:r>
    <w:r>
      <w:rPr>
        <w:rFonts w:ascii="Harlow Solid" w:eastAsia="Harlow Solid" w:hAnsi="Harlow Solid" w:cs="Harlow Solid"/>
        <w:i/>
        <w:color w:val="2F5496"/>
        <w:sz w:val="24"/>
      </w:rPr>
      <w:t xml:space="preserve">College of Business   </w:t>
    </w:r>
    <w:r>
      <w:rPr>
        <w:rFonts w:ascii="Harlow Solid" w:eastAsia="Harlow Solid" w:hAnsi="Harlow Solid" w:cs="Harlow Solid"/>
        <w:i/>
        <w:color w:val="2F5496"/>
        <w:sz w:val="24"/>
      </w:rPr>
      <w:tab/>
    </w:r>
    <w:r>
      <w:rPr>
        <w:b/>
        <w:color w:val="2F5496"/>
        <w:sz w:val="24"/>
      </w:rPr>
      <w:t>FIN439 Investment Strategies – Fall 2017</w:t>
    </w:r>
    <w:r>
      <w:rPr>
        <w:rFonts w:ascii="Times New Roman" w:eastAsia="Times New Roman" w:hAnsi="Times New Roman" w:cs="Times New Roman"/>
        <w:sz w:val="24"/>
      </w:rPr>
      <w:t xml:space="preserve"> </w:t>
    </w:r>
  </w:p>
  <w:p w14:paraId="4715BC7C" w14:textId="77777777" w:rsidR="008C3F1B" w:rsidRDefault="0059202B">
    <w:pPr>
      <w:spacing w:after="0" w:line="259" w:lineRule="auto"/>
      <w:ind w:left="0" w:firstLine="0"/>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15CB3" w14:textId="77777777" w:rsidR="008C3F1B" w:rsidRDefault="0059202B">
    <w:pPr>
      <w:tabs>
        <w:tab w:val="right" w:pos="9348"/>
      </w:tabs>
      <w:spacing w:after="119" w:line="259" w:lineRule="auto"/>
      <w:ind w:left="0" w:right="-14" w:firstLine="0"/>
    </w:pPr>
    <w:r>
      <w:rPr>
        <w:noProof/>
      </w:rPr>
      <mc:AlternateContent>
        <mc:Choice Requires="wpg">
          <w:drawing>
            <wp:anchor distT="0" distB="0" distL="114300" distR="114300" simplePos="0" relativeHeight="251658241" behindDoc="0" locked="0" layoutInCell="1" allowOverlap="1" wp14:anchorId="4C84D490" wp14:editId="1EDB6B56">
              <wp:simplePos x="0" y="0"/>
              <wp:positionH relativeFrom="page">
                <wp:posOffset>896417</wp:posOffset>
              </wp:positionH>
              <wp:positionV relativeFrom="page">
                <wp:posOffset>696468</wp:posOffset>
              </wp:positionV>
              <wp:extent cx="5981065" cy="56388"/>
              <wp:effectExtent l="0" t="0" r="0" b="0"/>
              <wp:wrapSquare wrapText="bothSides"/>
              <wp:docPr id="12629" name="Group 12629"/>
              <wp:cNvGraphicFramePr/>
              <a:graphic xmlns:a="http://schemas.openxmlformats.org/drawingml/2006/main">
                <a:graphicData uri="http://schemas.microsoft.com/office/word/2010/wordprocessingGroup">
                  <wpg:wgp>
                    <wpg:cNvGrpSpPr/>
                    <wpg:grpSpPr>
                      <a:xfrm>
                        <a:off x="0" y="0"/>
                        <a:ext cx="5981065" cy="56388"/>
                        <a:chOff x="0" y="0"/>
                        <a:chExt cx="5981065" cy="56388"/>
                      </a:xfrm>
                    </wpg:grpSpPr>
                    <wps:wsp>
                      <wps:cNvPr id="13266" name="Shape 13266"/>
                      <wps:cNvSpPr/>
                      <wps:spPr>
                        <a:xfrm>
                          <a:off x="0" y="18288"/>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3267" name="Shape 13267"/>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anchor>
          </w:drawing>
        </mc:Choice>
        <mc:Fallback>
          <w:pict>
            <v:group w14:anchorId="0EB7BC9F" id="Group 12629" o:spid="_x0000_s1026" style="position:absolute;margin-left:70.6pt;margin-top:54.85pt;width:470.95pt;height:4.45pt;z-index:251658241;mso-position-horizontal-relative:page;mso-position-vertical-relative:page" coordsize="5981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">
              <v:shape id="Shape 13266" o:spid="_x0000_s1027" style="position:absolute;top:182;width:59810;height:381;visibility:visible;mso-wrap-style:square;v-text-anchor:top" coordsize="598106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" path="m,l5981065,r,38100l,38100,,e" fillcolor="#ffc000" stroked="f" strokeweight="0">
                <v:stroke miterlimit="83231f" joinstyle="miter"/>
                <v:path arrowok="t" textboxrect="0,0,5981065,38100"/>
              </v:shape>
              <v:shape id="Shape 13267" o:spid="_x0000_s1028"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" path="m,l5981065,r,9144l,9144,,e" fillcolor="#ffc000" stroked="f" strokeweight="0">
                <v:stroke miterlimit="83231f" joinstyle="miter"/>
                <v:path arrowok="t" textboxrect="0,0,5981065,9144"/>
              </v:shape>
              <w10:wrap type="square" anchorx="page" anchory="page"/>
            </v:group>
          </w:pict>
        </mc:Fallback>
      </mc:AlternateContent>
    </w:r>
    <w:r>
      <w:rPr>
        <w:rFonts w:ascii="Arial" w:eastAsia="Arial" w:hAnsi="Arial" w:cs="Arial"/>
        <w:b/>
        <w:color w:val="2F5496"/>
        <w:sz w:val="24"/>
      </w:rPr>
      <w:t xml:space="preserve">UWEC </w:t>
    </w:r>
    <w:r>
      <w:rPr>
        <w:rFonts w:ascii="Harlow Solid" w:eastAsia="Harlow Solid" w:hAnsi="Harlow Solid" w:cs="Harlow Solid"/>
        <w:i/>
        <w:color w:val="2F5496"/>
        <w:sz w:val="24"/>
      </w:rPr>
      <w:t xml:space="preserve">College of Business   </w:t>
    </w:r>
    <w:r>
      <w:rPr>
        <w:rFonts w:ascii="Harlow Solid" w:eastAsia="Harlow Solid" w:hAnsi="Harlow Solid" w:cs="Harlow Solid"/>
        <w:i/>
        <w:color w:val="2F5496"/>
        <w:sz w:val="24"/>
      </w:rPr>
      <w:tab/>
    </w:r>
    <w:r>
      <w:rPr>
        <w:b/>
        <w:color w:val="2F5496"/>
        <w:sz w:val="24"/>
      </w:rPr>
      <w:t>FIN439 I</w:t>
    </w:r>
    <w:r w:rsidR="00A2796D">
      <w:rPr>
        <w:b/>
        <w:color w:val="2F5496"/>
        <w:sz w:val="24"/>
      </w:rPr>
      <w:t>nvestment Strategies – Spring 2018</w:t>
    </w:r>
    <w:r>
      <w:rPr>
        <w:rFonts w:ascii="Times New Roman" w:eastAsia="Times New Roman" w:hAnsi="Times New Roman" w:cs="Times New Roman"/>
        <w:sz w:val="24"/>
      </w:rPr>
      <w:t xml:space="preserve"> </w:t>
    </w:r>
  </w:p>
  <w:p w14:paraId="554E1B7D" w14:textId="77777777" w:rsidR="008C3F1B" w:rsidRDefault="0059202B">
    <w:pPr>
      <w:spacing w:after="0" w:line="259" w:lineRule="auto"/>
      <w:ind w:left="0" w:firstLine="0"/>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2CE1E" w14:textId="77777777" w:rsidR="008C3F1B" w:rsidRDefault="0059202B">
    <w:pPr>
      <w:tabs>
        <w:tab w:val="right" w:pos="9348"/>
      </w:tabs>
      <w:spacing w:after="119" w:line="259" w:lineRule="auto"/>
      <w:ind w:left="0" w:right="-14" w:firstLine="0"/>
    </w:pPr>
    <w:r>
      <w:rPr>
        <w:noProof/>
      </w:rPr>
      <mc:AlternateContent>
        <mc:Choice Requires="wpg">
          <w:drawing>
            <wp:anchor distT="0" distB="0" distL="114300" distR="114300" simplePos="0" relativeHeight="251658242" behindDoc="0" locked="0" layoutInCell="1" allowOverlap="1" wp14:anchorId="57817E9F" wp14:editId="1DE39000">
              <wp:simplePos x="0" y="0"/>
              <wp:positionH relativeFrom="page">
                <wp:posOffset>896417</wp:posOffset>
              </wp:positionH>
              <wp:positionV relativeFrom="page">
                <wp:posOffset>696468</wp:posOffset>
              </wp:positionV>
              <wp:extent cx="5981065" cy="56388"/>
              <wp:effectExtent l="0" t="0" r="0" b="0"/>
              <wp:wrapSquare wrapText="bothSides"/>
              <wp:docPr id="12588" name="Group 12588"/>
              <wp:cNvGraphicFramePr/>
              <a:graphic xmlns:a="http://schemas.openxmlformats.org/drawingml/2006/main">
                <a:graphicData uri="http://schemas.microsoft.com/office/word/2010/wordprocessingGroup">
                  <wpg:wgp>
                    <wpg:cNvGrpSpPr/>
                    <wpg:grpSpPr>
                      <a:xfrm>
                        <a:off x="0" y="0"/>
                        <a:ext cx="5981065" cy="56388"/>
                        <a:chOff x="0" y="0"/>
                        <a:chExt cx="5981065" cy="56388"/>
                      </a:xfrm>
                    </wpg:grpSpPr>
                    <wps:wsp>
                      <wps:cNvPr id="13262" name="Shape 13262"/>
                      <wps:cNvSpPr/>
                      <wps:spPr>
                        <a:xfrm>
                          <a:off x="0" y="18288"/>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3263" name="Shape 1326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anchor>
          </w:drawing>
        </mc:Choice>
        <mc:Fallback>
          <w:pict>
            <v:group w14:anchorId="4F7B9688" id="Group 12588" o:spid="_x0000_s1026" style="position:absolute;margin-left:70.6pt;margin-top:54.85pt;width:470.95pt;height:4.45pt;z-index:251658242;mso-position-horizontal-relative:page;mso-position-vertical-relative:page" coordsize="5981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">
              <v:shape id="Shape 13262" o:spid="_x0000_s1027" style="position:absolute;top:182;width:59810;height:381;visibility:visible;mso-wrap-style:square;v-text-anchor:top" coordsize="598106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" path="m,l5981065,r,38100l,38100,,e" fillcolor="#ffc000" stroked="f" strokeweight="0">
                <v:stroke miterlimit="83231f" joinstyle="miter"/>
                <v:path arrowok="t" textboxrect="0,0,5981065,38100"/>
              </v:shape>
              <v:shape id="Shape 13263" o:spid="_x0000_s1028"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" path="m,l5981065,r,9144l,9144,,e" fillcolor="#ffc000" stroked="f" strokeweight="0">
                <v:stroke miterlimit="83231f" joinstyle="miter"/>
                <v:path arrowok="t" textboxrect="0,0,5981065,9144"/>
              </v:shape>
              <w10:wrap type="square" anchorx="page" anchory="page"/>
            </v:group>
          </w:pict>
        </mc:Fallback>
      </mc:AlternateContent>
    </w:r>
    <w:r>
      <w:rPr>
        <w:rFonts w:ascii="Arial" w:eastAsia="Arial" w:hAnsi="Arial" w:cs="Arial"/>
        <w:b/>
        <w:color w:val="2F5496"/>
        <w:sz w:val="24"/>
      </w:rPr>
      <w:t xml:space="preserve">UWEC </w:t>
    </w:r>
    <w:r>
      <w:rPr>
        <w:rFonts w:ascii="Harlow Solid" w:eastAsia="Harlow Solid" w:hAnsi="Harlow Solid" w:cs="Harlow Solid"/>
        <w:i/>
        <w:color w:val="2F5496"/>
        <w:sz w:val="24"/>
      </w:rPr>
      <w:t xml:space="preserve">College of Business   </w:t>
    </w:r>
    <w:r>
      <w:rPr>
        <w:rFonts w:ascii="Harlow Solid" w:eastAsia="Harlow Solid" w:hAnsi="Harlow Solid" w:cs="Harlow Solid"/>
        <w:i/>
        <w:color w:val="2F5496"/>
        <w:sz w:val="24"/>
      </w:rPr>
      <w:tab/>
    </w:r>
    <w:r>
      <w:rPr>
        <w:b/>
        <w:color w:val="2F5496"/>
        <w:sz w:val="24"/>
      </w:rPr>
      <w:t>FIN439 Investment Strategies – Fall 2017</w:t>
    </w:r>
    <w:r>
      <w:rPr>
        <w:rFonts w:ascii="Times New Roman" w:eastAsia="Times New Roman" w:hAnsi="Times New Roman" w:cs="Times New Roman"/>
        <w:sz w:val="24"/>
      </w:rPr>
      <w:t xml:space="preserve"> </w:t>
    </w:r>
  </w:p>
  <w:p w14:paraId="101A2107" w14:textId="77777777" w:rsidR="008C3F1B" w:rsidRDefault="0059202B">
    <w:pPr>
      <w:spacing w:after="0" w:line="259" w:lineRule="auto"/>
      <w:ind w:left="0" w:firstLine="0"/>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F1B"/>
    <w:rsid w:val="00001594"/>
    <w:rsid w:val="0000447C"/>
    <w:rsid w:val="00004F4F"/>
    <w:rsid w:val="00005213"/>
    <w:rsid w:val="00012EEA"/>
    <w:rsid w:val="00013046"/>
    <w:rsid w:val="00015212"/>
    <w:rsid w:val="00022001"/>
    <w:rsid w:val="00027292"/>
    <w:rsid w:val="00033DAA"/>
    <w:rsid w:val="0003559E"/>
    <w:rsid w:val="000408C2"/>
    <w:rsid w:val="00040B45"/>
    <w:rsid w:val="000423B7"/>
    <w:rsid w:val="000461C3"/>
    <w:rsid w:val="00053C2B"/>
    <w:rsid w:val="00055E55"/>
    <w:rsid w:val="00056F25"/>
    <w:rsid w:val="00060908"/>
    <w:rsid w:val="000628D2"/>
    <w:rsid w:val="00065648"/>
    <w:rsid w:val="00066A66"/>
    <w:rsid w:val="00067DA0"/>
    <w:rsid w:val="00070F75"/>
    <w:rsid w:val="00071978"/>
    <w:rsid w:val="0007456E"/>
    <w:rsid w:val="00080004"/>
    <w:rsid w:val="00082088"/>
    <w:rsid w:val="00086634"/>
    <w:rsid w:val="00087270"/>
    <w:rsid w:val="00092EFF"/>
    <w:rsid w:val="000932CB"/>
    <w:rsid w:val="00093BD5"/>
    <w:rsid w:val="000A0077"/>
    <w:rsid w:val="000A299D"/>
    <w:rsid w:val="000A3B44"/>
    <w:rsid w:val="000A4599"/>
    <w:rsid w:val="000A7A84"/>
    <w:rsid w:val="000B30D7"/>
    <w:rsid w:val="000B337A"/>
    <w:rsid w:val="000B3C17"/>
    <w:rsid w:val="000B5471"/>
    <w:rsid w:val="000B5600"/>
    <w:rsid w:val="000B67A1"/>
    <w:rsid w:val="000B6ABD"/>
    <w:rsid w:val="000B7234"/>
    <w:rsid w:val="000C0664"/>
    <w:rsid w:val="000C11F3"/>
    <w:rsid w:val="000C34C5"/>
    <w:rsid w:val="000C44BF"/>
    <w:rsid w:val="000C69C0"/>
    <w:rsid w:val="000E248D"/>
    <w:rsid w:val="000E27E2"/>
    <w:rsid w:val="000E3F25"/>
    <w:rsid w:val="000E51F4"/>
    <w:rsid w:val="000E7AE4"/>
    <w:rsid w:val="000F5058"/>
    <w:rsid w:val="000F52DC"/>
    <w:rsid w:val="000F5C11"/>
    <w:rsid w:val="000F7017"/>
    <w:rsid w:val="000F76EF"/>
    <w:rsid w:val="0010271C"/>
    <w:rsid w:val="00110C90"/>
    <w:rsid w:val="00111343"/>
    <w:rsid w:val="001115DB"/>
    <w:rsid w:val="001133D3"/>
    <w:rsid w:val="001138F6"/>
    <w:rsid w:val="00113BED"/>
    <w:rsid w:val="00115799"/>
    <w:rsid w:val="00115B2E"/>
    <w:rsid w:val="00116E47"/>
    <w:rsid w:val="0012575D"/>
    <w:rsid w:val="001257D8"/>
    <w:rsid w:val="00131365"/>
    <w:rsid w:val="00132117"/>
    <w:rsid w:val="00135DE2"/>
    <w:rsid w:val="0013606F"/>
    <w:rsid w:val="00144AB0"/>
    <w:rsid w:val="00147DF6"/>
    <w:rsid w:val="0015132E"/>
    <w:rsid w:val="001515D0"/>
    <w:rsid w:val="00157124"/>
    <w:rsid w:val="0016126F"/>
    <w:rsid w:val="00165039"/>
    <w:rsid w:val="00165464"/>
    <w:rsid w:val="001659CD"/>
    <w:rsid w:val="00170CA0"/>
    <w:rsid w:val="00175631"/>
    <w:rsid w:val="001772E1"/>
    <w:rsid w:val="00180BB8"/>
    <w:rsid w:val="00186E89"/>
    <w:rsid w:val="00187322"/>
    <w:rsid w:val="00187993"/>
    <w:rsid w:val="00187C0C"/>
    <w:rsid w:val="001901FE"/>
    <w:rsid w:val="001930C1"/>
    <w:rsid w:val="00193E14"/>
    <w:rsid w:val="0019493A"/>
    <w:rsid w:val="00194A79"/>
    <w:rsid w:val="001B1820"/>
    <w:rsid w:val="001B1D91"/>
    <w:rsid w:val="001C4796"/>
    <w:rsid w:val="001C69BB"/>
    <w:rsid w:val="001C7B59"/>
    <w:rsid w:val="001C7B87"/>
    <w:rsid w:val="001D105B"/>
    <w:rsid w:val="001D17C4"/>
    <w:rsid w:val="001D1893"/>
    <w:rsid w:val="001D2A93"/>
    <w:rsid w:val="001D4050"/>
    <w:rsid w:val="001D67DD"/>
    <w:rsid w:val="001D73D0"/>
    <w:rsid w:val="001E48F1"/>
    <w:rsid w:val="001E7773"/>
    <w:rsid w:val="001F15A0"/>
    <w:rsid w:val="001F44D5"/>
    <w:rsid w:val="001F4E39"/>
    <w:rsid w:val="00200A9A"/>
    <w:rsid w:val="00204F95"/>
    <w:rsid w:val="002100F0"/>
    <w:rsid w:val="00212223"/>
    <w:rsid w:val="00216732"/>
    <w:rsid w:val="0021767C"/>
    <w:rsid w:val="00221D37"/>
    <w:rsid w:val="00224326"/>
    <w:rsid w:val="00227442"/>
    <w:rsid w:val="00227892"/>
    <w:rsid w:val="00231573"/>
    <w:rsid w:val="00235734"/>
    <w:rsid w:val="0024681E"/>
    <w:rsid w:val="00247FA8"/>
    <w:rsid w:val="00252A3D"/>
    <w:rsid w:val="00255EB6"/>
    <w:rsid w:val="00264FC9"/>
    <w:rsid w:val="002652F4"/>
    <w:rsid w:val="00272FAF"/>
    <w:rsid w:val="00273F16"/>
    <w:rsid w:val="00274209"/>
    <w:rsid w:val="00276353"/>
    <w:rsid w:val="0028427D"/>
    <w:rsid w:val="002864B9"/>
    <w:rsid w:val="00294468"/>
    <w:rsid w:val="002959B5"/>
    <w:rsid w:val="0029624E"/>
    <w:rsid w:val="00296693"/>
    <w:rsid w:val="002975B8"/>
    <w:rsid w:val="00297A99"/>
    <w:rsid w:val="002B4574"/>
    <w:rsid w:val="002B493E"/>
    <w:rsid w:val="002B50C6"/>
    <w:rsid w:val="002B668E"/>
    <w:rsid w:val="002C35AD"/>
    <w:rsid w:val="002C39D7"/>
    <w:rsid w:val="002C508E"/>
    <w:rsid w:val="002D1CED"/>
    <w:rsid w:val="002D3B1B"/>
    <w:rsid w:val="002E081F"/>
    <w:rsid w:val="002E792A"/>
    <w:rsid w:val="002F5315"/>
    <w:rsid w:val="002F77E1"/>
    <w:rsid w:val="00300F5B"/>
    <w:rsid w:val="003025DA"/>
    <w:rsid w:val="0030380A"/>
    <w:rsid w:val="00303E8A"/>
    <w:rsid w:val="00304F27"/>
    <w:rsid w:val="003101FE"/>
    <w:rsid w:val="00315C00"/>
    <w:rsid w:val="00321A51"/>
    <w:rsid w:val="00324FB7"/>
    <w:rsid w:val="003300D2"/>
    <w:rsid w:val="00330F12"/>
    <w:rsid w:val="003312DE"/>
    <w:rsid w:val="003476CA"/>
    <w:rsid w:val="00351087"/>
    <w:rsid w:val="00353D8A"/>
    <w:rsid w:val="003551EA"/>
    <w:rsid w:val="003659B6"/>
    <w:rsid w:val="00390267"/>
    <w:rsid w:val="00392435"/>
    <w:rsid w:val="00393872"/>
    <w:rsid w:val="00396AA4"/>
    <w:rsid w:val="003A1BE3"/>
    <w:rsid w:val="003A1F10"/>
    <w:rsid w:val="003A4505"/>
    <w:rsid w:val="003A45CE"/>
    <w:rsid w:val="003B4C93"/>
    <w:rsid w:val="003C1FD5"/>
    <w:rsid w:val="003C482D"/>
    <w:rsid w:val="003C4F49"/>
    <w:rsid w:val="003C764A"/>
    <w:rsid w:val="003D0AC5"/>
    <w:rsid w:val="003D1BA3"/>
    <w:rsid w:val="003D206F"/>
    <w:rsid w:val="003D3034"/>
    <w:rsid w:val="003D3A1E"/>
    <w:rsid w:val="003D3A3A"/>
    <w:rsid w:val="003E1571"/>
    <w:rsid w:val="003E6822"/>
    <w:rsid w:val="003F096F"/>
    <w:rsid w:val="003F203A"/>
    <w:rsid w:val="003F4650"/>
    <w:rsid w:val="003F4EF3"/>
    <w:rsid w:val="003F56F4"/>
    <w:rsid w:val="003F6890"/>
    <w:rsid w:val="003F7DA0"/>
    <w:rsid w:val="004011EE"/>
    <w:rsid w:val="004013AA"/>
    <w:rsid w:val="00402715"/>
    <w:rsid w:val="004032F4"/>
    <w:rsid w:val="00404104"/>
    <w:rsid w:val="004125B6"/>
    <w:rsid w:val="0042103D"/>
    <w:rsid w:val="0043268C"/>
    <w:rsid w:val="00432B85"/>
    <w:rsid w:val="00433951"/>
    <w:rsid w:val="00433A9E"/>
    <w:rsid w:val="00440FDF"/>
    <w:rsid w:val="00443DE1"/>
    <w:rsid w:val="0044585F"/>
    <w:rsid w:val="00445EE0"/>
    <w:rsid w:val="004479B3"/>
    <w:rsid w:val="00450543"/>
    <w:rsid w:val="004553B9"/>
    <w:rsid w:val="00456253"/>
    <w:rsid w:val="00463587"/>
    <w:rsid w:val="0047057E"/>
    <w:rsid w:val="00472C67"/>
    <w:rsid w:val="00472DE4"/>
    <w:rsid w:val="00475371"/>
    <w:rsid w:val="00480D47"/>
    <w:rsid w:val="00481FA2"/>
    <w:rsid w:val="00484D40"/>
    <w:rsid w:val="00486DBF"/>
    <w:rsid w:val="00487459"/>
    <w:rsid w:val="0049041E"/>
    <w:rsid w:val="004905A3"/>
    <w:rsid w:val="00490AEE"/>
    <w:rsid w:val="00491E71"/>
    <w:rsid w:val="00495097"/>
    <w:rsid w:val="004A010F"/>
    <w:rsid w:val="004A0513"/>
    <w:rsid w:val="004A1A4F"/>
    <w:rsid w:val="004A5308"/>
    <w:rsid w:val="004A6FDB"/>
    <w:rsid w:val="004A7378"/>
    <w:rsid w:val="004B0FD8"/>
    <w:rsid w:val="004B19BE"/>
    <w:rsid w:val="004B2F92"/>
    <w:rsid w:val="004B72AC"/>
    <w:rsid w:val="004C4C01"/>
    <w:rsid w:val="004C686E"/>
    <w:rsid w:val="004C74A4"/>
    <w:rsid w:val="004D05EC"/>
    <w:rsid w:val="004D3B56"/>
    <w:rsid w:val="004D607D"/>
    <w:rsid w:val="004D6747"/>
    <w:rsid w:val="004D6D40"/>
    <w:rsid w:val="004E0257"/>
    <w:rsid w:val="004E3A88"/>
    <w:rsid w:val="004E6406"/>
    <w:rsid w:val="004F210D"/>
    <w:rsid w:val="004F5324"/>
    <w:rsid w:val="004F63AB"/>
    <w:rsid w:val="005007F0"/>
    <w:rsid w:val="005026BE"/>
    <w:rsid w:val="00503708"/>
    <w:rsid w:val="0050431F"/>
    <w:rsid w:val="00504F3F"/>
    <w:rsid w:val="00504FC0"/>
    <w:rsid w:val="00506B43"/>
    <w:rsid w:val="00507E3C"/>
    <w:rsid w:val="00512381"/>
    <w:rsid w:val="00512937"/>
    <w:rsid w:val="005172B1"/>
    <w:rsid w:val="00520497"/>
    <w:rsid w:val="0052603B"/>
    <w:rsid w:val="00537CE8"/>
    <w:rsid w:val="00543C6A"/>
    <w:rsid w:val="00551130"/>
    <w:rsid w:val="005512FE"/>
    <w:rsid w:val="005513DF"/>
    <w:rsid w:val="00555358"/>
    <w:rsid w:val="00560853"/>
    <w:rsid w:val="00567581"/>
    <w:rsid w:val="00581DAE"/>
    <w:rsid w:val="005836E3"/>
    <w:rsid w:val="00587542"/>
    <w:rsid w:val="00591A65"/>
    <w:rsid w:val="0059202B"/>
    <w:rsid w:val="00596C1E"/>
    <w:rsid w:val="005A21DE"/>
    <w:rsid w:val="005A2F30"/>
    <w:rsid w:val="005A45E4"/>
    <w:rsid w:val="005A5E08"/>
    <w:rsid w:val="005A702D"/>
    <w:rsid w:val="005A7105"/>
    <w:rsid w:val="005B0502"/>
    <w:rsid w:val="005B1EA6"/>
    <w:rsid w:val="005B278C"/>
    <w:rsid w:val="005B3B40"/>
    <w:rsid w:val="005B6AFD"/>
    <w:rsid w:val="005B7E3B"/>
    <w:rsid w:val="005C0D2B"/>
    <w:rsid w:val="005C324A"/>
    <w:rsid w:val="005C38DF"/>
    <w:rsid w:val="005C4578"/>
    <w:rsid w:val="005C4C64"/>
    <w:rsid w:val="005C51A7"/>
    <w:rsid w:val="005C763A"/>
    <w:rsid w:val="005D48B3"/>
    <w:rsid w:val="005D4E9D"/>
    <w:rsid w:val="005D7B98"/>
    <w:rsid w:val="005E5567"/>
    <w:rsid w:val="005E6CC5"/>
    <w:rsid w:val="005F359C"/>
    <w:rsid w:val="005F40EC"/>
    <w:rsid w:val="005F4FD5"/>
    <w:rsid w:val="005F640F"/>
    <w:rsid w:val="00600532"/>
    <w:rsid w:val="006017BA"/>
    <w:rsid w:val="006043AB"/>
    <w:rsid w:val="00605C8B"/>
    <w:rsid w:val="006142C1"/>
    <w:rsid w:val="006152FC"/>
    <w:rsid w:val="00615776"/>
    <w:rsid w:val="00617B9A"/>
    <w:rsid w:val="00620DAE"/>
    <w:rsid w:val="00621268"/>
    <w:rsid w:val="00622755"/>
    <w:rsid w:val="0062438A"/>
    <w:rsid w:val="0062552E"/>
    <w:rsid w:val="00633F45"/>
    <w:rsid w:val="006342C4"/>
    <w:rsid w:val="00634322"/>
    <w:rsid w:val="00634752"/>
    <w:rsid w:val="006418B3"/>
    <w:rsid w:val="00643648"/>
    <w:rsid w:val="00646D19"/>
    <w:rsid w:val="00652D29"/>
    <w:rsid w:val="00653458"/>
    <w:rsid w:val="00653604"/>
    <w:rsid w:val="00653F40"/>
    <w:rsid w:val="0065672B"/>
    <w:rsid w:val="00656E51"/>
    <w:rsid w:val="0066025B"/>
    <w:rsid w:val="00661D9C"/>
    <w:rsid w:val="00663340"/>
    <w:rsid w:val="006662CC"/>
    <w:rsid w:val="0066759C"/>
    <w:rsid w:val="0066759F"/>
    <w:rsid w:val="006676C3"/>
    <w:rsid w:val="00683893"/>
    <w:rsid w:val="0068394C"/>
    <w:rsid w:val="00694885"/>
    <w:rsid w:val="00695A7A"/>
    <w:rsid w:val="006A1667"/>
    <w:rsid w:val="006A3BF2"/>
    <w:rsid w:val="006A4401"/>
    <w:rsid w:val="006A55FD"/>
    <w:rsid w:val="006A75EF"/>
    <w:rsid w:val="006B03A8"/>
    <w:rsid w:val="006B1F48"/>
    <w:rsid w:val="006B23A2"/>
    <w:rsid w:val="006B3B72"/>
    <w:rsid w:val="006C2390"/>
    <w:rsid w:val="006D05E9"/>
    <w:rsid w:val="006D0B92"/>
    <w:rsid w:val="006E0878"/>
    <w:rsid w:val="006E0A0F"/>
    <w:rsid w:val="006E0DCF"/>
    <w:rsid w:val="006E29C2"/>
    <w:rsid w:val="006E5146"/>
    <w:rsid w:val="006E660E"/>
    <w:rsid w:val="006E73E6"/>
    <w:rsid w:val="006F1260"/>
    <w:rsid w:val="006F478C"/>
    <w:rsid w:val="006F6B23"/>
    <w:rsid w:val="00701710"/>
    <w:rsid w:val="007024AE"/>
    <w:rsid w:val="007036BD"/>
    <w:rsid w:val="00706D0C"/>
    <w:rsid w:val="0070730C"/>
    <w:rsid w:val="00710FD7"/>
    <w:rsid w:val="0071140A"/>
    <w:rsid w:val="00726989"/>
    <w:rsid w:val="007276C1"/>
    <w:rsid w:val="00730EA3"/>
    <w:rsid w:val="00731508"/>
    <w:rsid w:val="00732966"/>
    <w:rsid w:val="00732D14"/>
    <w:rsid w:val="007332AE"/>
    <w:rsid w:val="00737ADB"/>
    <w:rsid w:val="00737BE5"/>
    <w:rsid w:val="00742AA5"/>
    <w:rsid w:val="00743900"/>
    <w:rsid w:val="00753B39"/>
    <w:rsid w:val="00754410"/>
    <w:rsid w:val="00754DEF"/>
    <w:rsid w:val="0076084D"/>
    <w:rsid w:val="007674DA"/>
    <w:rsid w:val="00767811"/>
    <w:rsid w:val="00772099"/>
    <w:rsid w:val="00773E93"/>
    <w:rsid w:val="007821AF"/>
    <w:rsid w:val="007853BE"/>
    <w:rsid w:val="00792319"/>
    <w:rsid w:val="007925A5"/>
    <w:rsid w:val="007A0FE6"/>
    <w:rsid w:val="007A2E68"/>
    <w:rsid w:val="007A3FEE"/>
    <w:rsid w:val="007A444D"/>
    <w:rsid w:val="007A5527"/>
    <w:rsid w:val="007A7767"/>
    <w:rsid w:val="007A787C"/>
    <w:rsid w:val="007A7DD0"/>
    <w:rsid w:val="007B3982"/>
    <w:rsid w:val="007B66B2"/>
    <w:rsid w:val="007B7428"/>
    <w:rsid w:val="007C2287"/>
    <w:rsid w:val="007C38D2"/>
    <w:rsid w:val="007C5FAC"/>
    <w:rsid w:val="007C641F"/>
    <w:rsid w:val="007E138A"/>
    <w:rsid w:val="007E175A"/>
    <w:rsid w:val="007E2672"/>
    <w:rsid w:val="007E3452"/>
    <w:rsid w:val="007E378D"/>
    <w:rsid w:val="007E5D6C"/>
    <w:rsid w:val="007E6AE2"/>
    <w:rsid w:val="007E6C8F"/>
    <w:rsid w:val="007F3285"/>
    <w:rsid w:val="007F7A04"/>
    <w:rsid w:val="008005EA"/>
    <w:rsid w:val="008028C4"/>
    <w:rsid w:val="00814468"/>
    <w:rsid w:val="008179EB"/>
    <w:rsid w:val="00820365"/>
    <w:rsid w:val="00824271"/>
    <w:rsid w:val="00825830"/>
    <w:rsid w:val="00836CAF"/>
    <w:rsid w:val="00841FFE"/>
    <w:rsid w:val="00847A34"/>
    <w:rsid w:val="00851C0A"/>
    <w:rsid w:val="0085437E"/>
    <w:rsid w:val="00855811"/>
    <w:rsid w:val="00855B88"/>
    <w:rsid w:val="008600AB"/>
    <w:rsid w:val="008624DB"/>
    <w:rsid w:val="00862C15"/>
    <w:rsid w:val="008652EE"/>
    <w:rsid w:val="00866007"/>
    <w:rsid w:val="0086639C"/>
    <w:rsid w:val="00867F9B"/>
    <w:rsid w:val="00880098"/>
    <w:rsid w:val="0088253E"/>
    <w:rsid w:val="00882B7A"/>
    <w:rsid w:val="008848CE"/>
    <w:rsid w:val="00886D2C"/>
    <w:rsid w:val="00887185"/>
    <w:rsid w:val="00890E05"/>
    <w:rsid w:val="00896873"/>
    <w:rsid w:val="008A3C7C"/>
    <w:rsid w:val="008A68FF"/>
    <w:rsid w:val="008B276C"/>
    <w:rsid w:val="008B4F51"/>
    <w:rsid w:val="008B666F"/>
    <w:rsid w:val="008B7B70"/>
    <w:rsid w:val="008C1EDF"/>
    <w:rsid w:val="008C2194"/>
    <w:rsid w:val="008C348D"/>
    <w:rsid w:val="008C3F1B"/>
    <w:rsid w:val="008C5A49"/>
    <w:rsid w:val="008C65CB"/>
    <w:rsid w:val="008C6A41"/>
    <w:rsid w:val="008C70DE"/>
    <w:rsid w:val="008D1B0D"/>
    <w:rsid w:val="008D1B93"/>
    <w:rsid w:val="008D34E9"/>
    <w:rsid w:val="008D6E61"/>
    <w:rsid w:val="008E0487"/>
    <w:rsid w:val="008E13FC"/>
    <w:rsid w:val="008E1F82"/>
    <w:rsid w:val="008E481C"/>
    <w:rsid w:val="008E61F9"/>
    <w:rsid w:val="008E6DFB"/>
    <w:rsid w:val="008F04EF"/>
    <w:rsid w:val="008F2BCE"/>
    <w:rsid w:val="00902FEB"/>
    <w:rsid w:val="009033D8"/>
    <w:rsid w:val="009111E9"/>
    <w:rsid w:val="0091489B"/>
    <w:rsid w:val="0091566C"/>
    <w:rsid w:val="00925A84"/>
    <w:rsid w:val="00925FAD"/>
    <w:rsid w:val="00930995"/>
    <w:rsid w:val="009328E0"/>
    <w:rsid w:val="009330ED"/>
    <w:rsid w:val="00936511"/>
    <w:rsid w:val="00940145"/>
    <w:rsid w:val="00946855"/>
    <w:rsid w:val="00962886"/>
    <w:rsid w:val="00962EF0"/>
    <w:rsid w:val="0097088E"/>
    <w:rsid w:val="009724AD"/>
    <w:rsid w:val="009803A7"/>
    <w:rsid w:val="0099017D"/>
    <w:rsid w:val="0099239A"/>
    <w:rsid w:val="00994143"/>
    <w:rsid w:val="009965DE"/>
    <w:rsid w:val="009A0F19"/>
    <w:rsid w:val="009A0F67"/>
    <w:rsid w:val="009A1A21"/>
    <w:rsid w:val="009A2738"/>
    <w:rsid w:val="009A7B3E"/>
    <w:rsid w:val="009B021C"/>
    <w:rsid w:val="009B08A1"/>
    <w:rsid w:val="009B2E20"/>
    <w:rsid w:val="009B74E9"/>
    <w:rsid w:val="009C2E4D"/>
    <w:rsid w:val="009C3092"/>
    <w:rsid w:val="009C4E6C"/>
    <w:rsid w:val="009C6420"/>
    <w:rsid w:val="009C756A"/>
    <w:rsid w:val="009D36E9"/>
    <w:rsid w:val="009D66A4"/>
    <w:rsid w:val="009D73A1"/>
    <w:rsid w:val="009E0F5F"/>
    <w:rsid w:val="009E18B6"/>
    <w:rsid w:val="009E3925"/>
    <w:rsid w:val="009E541D"/>
    <w:rsid w:val="009F2DCB"/>
    <w:rsid w:val="009F3240"/>
    <w:rsid w:val="009F6269"/>
    <w:rsid w:val="009F7EB7"/>
    <w:rsid w:val="00A00277"/>
    <w:rsid w:val="00A025CA"/>
    <w:rsid w:val="00A044A0"/>
    <w:rsid w:val="00A048B4"/>
    <w:rsid w:val="00A05783"/>
    <w:rsid w:val="00A05F8B"/>
    <w:rsid w:val="00A06047"/>
    <w:rsid w:val="00A105AB"/>
    <w:rsid w:val="00A11553"/>
    <w:rsid w:val="00A13B4C"/>
    <w:rsid w:val="00A17CA4"/>
    <w:rsid w:val="00A23CBF"/>
    <w:rsid w:val="00A24833"/>
    <w:rsid w:val="00A24FF7"/>
    <w:rsid w:val="00A262EB"/>
    <w:rsid w:val="00A2752E"/>
    <w:rsid w:val="00A2796D"/>
    <w:rsid w:val="00A327E4"/>
    <w:rsid w:val="00A33335"/>
    <w:rsid w:val="00A36FFB"/>
    <w:rsid w:val="00A37D49"/>
    <w:rsid w:val="00A4258E"/>
    <w:rsid w:val="00A42B55"/>
    <w:rsid w:val="00A43B05"/>
    <w:rsid w:val="00A44F6D"/>
    <w:rsid w:val="00A4592A"/>
    <w:rsid w:val="00A53829"/>
    <w:rsid w:val="00A55CFA"/>
    <w:rsid w:val="00A56276"/>
    <w:rsid w:val="00A635D1"/>
    <w:rsid w:val="00A67687"/>
    <w:rsid w:val="00A676B0"/>
    <w:rsid w:val="00A74FF0"/>
    <w:rsid w:val="00A82268"/>
    <w:rsid w:val="00A82FAE"/>
    <w:rsid w:val="00A8625D"/>
    <w:rsid w:val="00A87815"/>
    <w:rsid w:val="00A93019"/>
    <w:rsid w:val="00A970E4"/>
    <w:rsid w:val="00A97713"/>
    <w:rsid w:val="00AA2CDB"/>
    <w:rsid w:val="00AA3C0F"/>
    <w:rsid w:val="00AB2F30"/>
    <w:rsid w:val="00AB4C37"/>
    <w:rsid w:val="00AC22B2"/>
    <w:rsid w:val="00AD0967"/>
    <w:rsid w:val="00AD09CD"/>
    <w:rsid w:val="00AD3A91"/>
    <w:rsid w:val="00AD5177"/>
    <w:rsid w:val="00AE155E"/>
    <w:rsid w:val="00AE328B"/>
    <w:rsid w:val="00AE607B"/>
    <w:rsid w:val="00AE7408"/>
    <w:rsid w:val="00AF212E"/>
    <w:rsid w:val="00AF3B76"/>
    <w:rsid w:val="00AF3C47"/>
    <w:rsid w:val="00AF5732"/>
    <w:rsid w:val="00AF67CC"/>
    <w:rsid w:val="00B215DC"/>
    <w:rsid w:val="00B251CE"/>
    <w:rsid w:val="00B26004"/>
    <w:rsid w:val="00B313A6"/>
    <w:rsid w:val="00B33AD2"/>
    <w:rsid w:val="00B35205"/>
    <w:rsid w:val="00B36D2A"/>
    <w:rsid w:val="00B36DC7"/>
    <w:rsid w:val="00B403D1"/>
    <w:rsid w:val="00B46454"/>
    <w:rsid w:val="00B46D91"/>
    <w:rsid w:val="00B508EB"/>
    <w:rsid w:val="00B552DD"/>
    <w:rsid w:val="00B60E0A"/>
    <w:rsid w:val="00B611EC"/>
    <w:rsid w:val="00B61AF9"/>
    <w:rsid w:val="00B633EC"/>
    <w:rsid w:val="00B634CC"/>
    <w:rsid w:val="00B661FE"/>
    <w:rsid w:val="00B67786"/>
    <w:rsid w:val="00B7637D"/>
    <w:rsid w:val="00B81F88"/>
    <w:rsid w:val="00B8743C"/>
    <w:rsid w:val="00B90103"/>
    <w:rsid w:val="00B90456"/>
    <w:rsid w:val="00B91FCF"/>
    <w:rsid w:val="00B95317"/>
    <w:rsid w:val="00B96865"/>
    <w:rsid w:val="00BA5EB9"/>
    <w:rsid w:val="00BA7257"/>
    <w:rsid w:val="00BC1BE9"/>
    <w:rsid w:val="00BD0673"/>
    <w:rsid w:val="00BD089C"/>
    <w:rsid w:val="00BD08DF"/>
    <w:rsid w:val="00BD4607"/>
    <w:rsid w:val="00BD7E0E"/>
    <w:rsid w:val="00BF1499"/>
    <w:rsid w:val="00BF1768"/>
    <w:rsid w:val="00BF2175"/>
    <w:rsid w:val="00C03835"/>
    <w:rsid w:val="00C06764"/>
    <w:rsid w:val="00C075F0"/>
    <w:rsid w:val="00C078F3"/>
    <w:rsid w:val="00C1270F"/>
    <w:rsid w:val="00C23957"/>
    <w:rsid w:val="00C24FB2"/>
    <w:rsid w:val="00C310A6"/>
    <w:rsid w:val="00C32A0B"/>
    <w:rsid w:val="00C454E6"/>
    <w:rsid w:val="00C533E9"/>
    <w:rsid w:val="00C53C23"/>
    <w:rsid w:val="00C56EBC"/>
    <w:rsid w:val="00C64D35"/>
    <w:rsid w:val="00C714DD"/>
    <w:rsid w:val="00C7273E"/>
    <w:rsid w:val="00C747E1"/>
    <w:rsid w:val="00C7789E"/>
    <w:rsid w:val="00C80794"/>
    <w:rsid w:val="00C8335E"/>
    <w:rsid w:val="00C83EF3"/>
    <w:rsid w:val="00C862A5"/>
    <w:rsid w:val="00C9332A"/>
    <w:rsid w:val="00C93E7F"/>
    <w:rsid w:val="00C94A62"/>
    <w:rsid w:val="00C96D0B"/>
    <w:rsid w:val="00C97BBE"/>
    <w:rsid w:val="00CA605D"/>
    <w:rsid w:val="00CB23F9"/>
    <w:rsid w:val="00CB77B1"/>
    <w:rsid w:val="00CB7C6A"/>
    <w:rsid w:val="00CC18C6"/>
    <w:rsid w:val="00CC346B"/>
    <w:rsid w:val="00CC4F51"/>
    <w:rsid w:val="00CD02E5"/>
    <w:rsid w:val="00CD2C3C"/>
    <w:rsid w:val="00CD3870"/>
    <w:rsid w:val="00CD48FC"/>
    <w:rsid w:val="00CE19EB"/>
    <w:rsid w:val="00CE2F79"/>
    <w:rsid w:val="00CE32F4"/>
    <w:rsid w:val="00CE34A6"/>
    <w:rsid w:val="00CE3B74"/>
    <w:rsid w:val="00CE3C9A"/>
    <w:rsid w:val="00CE3D24"/>
    <w:rsid w:val="00CE3FC3"/>
    <w:rsid w:val="00CE51D7"/>
    <w:rsid w:val="00CE6DF3"/>
    <w:rsid w:val="00CE73FB"/>
    <w:rsid w:val="00CF0BD9"/>
    <w:rsid w:val="00CF0D02"/>
    <w:rsid w:val="00CF0DF1"/>
    <w:rsid w:val="00D00376"/>
    <w:rsid w:val="00D044C9"/>
    <w:rsid w:val="00D06321"/>
    <w:rsid w:val="00D075F9"/>
    <w:rsid w:val="00D11C44"/>
    <w:rsid w:val="00D14830"/>
    <w:rsid w:val="00D159CD"/>
    <w:rsid w:val="00D15B09"/>
    <w:rsid w:val="00D176CC"/>
    <w:rsid w:val="00D209B8"/>
    <w:rsid w:val="00D24732"/>
    <w:rsid w:val="00D2698D"/>
    <w:rsid w:val="00D26BF2"/>
    <w:rsid w:val="00D31031"/>
    <w:rsid w:val="00D36381"/>
    <w:rsid w:val="00D3678C"/>
    <w:rsid w:val="00D41041"/>
    <w:rsid w:val="00D41B29"/>
    <w:rsid w:val="00D466DA"/>
    <w:rsid w:val="00D4712F"/>
    <w:rsid w:val="00D47D8A"/>
    <w:rsid w:val="00D50EB9"/>
    <w:rsid w:val="00D5208E"/>
    <w:rsid w:val="00D55DA7"/>
    <w:rsid w:val="00D566E3"/>
    <w:rsid w:val="00D57EB1"/>
    <w:rsid w:val="00D633F5"/>
    <w:rsid w:val="00D658C9"/>
    <w:rsid w:val="00D677C2"/>
    <w:rsid w:val="00D6783B"/>
    <w:rsid w:val="00D731A5"/>
    <w:rsid w:val="00D80F0D"/>
    <w:rsid w:val="00D859D2"/>
    <w:rsid w:val="00D85E5E"/>
    <w:rsid w:val="00D87D0C"/>
    <w:rsid w:val="00D9093F"/>
    <w:rsid w:val="00D91336"/>
    <w:rsid w:val="00D95B28"/>
    <w:rsid w:val="00DA0235"/>
    <w:rsid w:val="00DA1BA0"/>
    <w:rsid w:val="00DA247F"/>
    <w:rsid w:val="00DA5B27"/>
    <w:rsid w:val="00DA7AA1"/>
    <w:rsid w:val="00DB08DB"/>
    <w:rsid w:val="00DB19B1"/>
    <w:rsid w:val="00DB23CF"/>
    <w:rsid w:val="00DC461B"/>
    <w:rsid w:val="00DC4C24"/>
    <w:rsid w:val="00DC6409"/>
    <w:rsid w:val="00DD43C8"/>
    <w:rsid w:val="00DD4575"/>
    <w:rsid w:val="00DD58DA"/>
    <w:rsid w:val="00DE2123"/>
    <w:rsid w:val="00DE2131"/>
    <w:rsid w:val="00DE6B34"/>
    <w:rsid w:val="00DE7870"/>
    <w:rsid w:val="00DF506C"/>
    <w:rsid w:val="00DF5DC6"/>
    <w:rsid w:val="00DF650F"/>
    <w:rsid w:val="00E002CD"/>
    <w:rsid w:val="00E004B5"/>
    <w:rsid w:val="00E0263C"/>
    <w:rsid w:val="00E030A7"/>
    <w:rsid w:val="00E03C08"/>
    <w:rsid w:val="00E13C89"/>
    <w:rsid w:val="00E1420B"/>
    <w:rsid w:val="00E212EC"/>
    <w:rsid w:val="00E22AAC"/>
    <w:rsid w:val="00E24AF4"/>
    <w:rsid w:val="00E32580"/>
    <w:rsid w:val="00E32A45"/>
    <w:rsid w:val="00E341A0"/>
    <w:rsid w:val="00E36D3A"/>
    <w:rsid w:val="00E42E76"/>
    <w:rsid w:val="00E44D09"/>
    <w:rsid w:val="00E4629E"/>
    <w:rsid w:val="00E50643"/>
    <w:rsid w:val="00E52144"/>
    <w:rsid w:val="00E55ECB"/>
    <w:rsid w:val="00E5627E"/>
    <w:rsid w:val="00E606E8"/>
    <w:rsid w:val="00E621F7"/>
    <w:rsid w:val="00E62361"/>
    <w:rsid w:val="00E63866"/>
    <w:rsid w:val="00E645DA"/>
    <w:rsid w:val="00E6487D"/>
    <w:rsid w:val="00E65B82"/>
    <w:rsid w:val="00E665E3"/>
    <w:rsid w:val="00E67227"/>
    <w:rsid w:val="00E7090B"/>
    <w:rsid w:val="00E71D05"/>
    <w:rsid w:val="00E7495B"/>
    <w:rsid w:val="00E75307"/>
    <w:rsid w:val="00E7750B"/>
    <w:rsid w:val="00E77FDF"/>
    <w:rsid w:val="00E81E02"/>
    <w:rsid w:val="00E83314"/>
    <w:rsid w:val="00E846A4"/>
    <w:rsid w:val="00E92DC4"/>
    <w:rsid w:val="00E93A98"/>
    <w:rsid w:val="00E946FE"/>
    <w:rsid w:val="00E9473F"/>
    <w:rsid w:val="00E95410"/>
    <w:rsid w:val="00E95937"/>
    <w:rsid w:val="00E96D1E"/>
    <w:rsid w:val="00EA0F10"/>
    <w:rsid w:val="00EA360A"/>
    <w:rsid w:val="00EA381D"/>
    <w:rsid w:val="00EB1548"/>
    <w:rsid w:val="00EB2009"/>
    <w:rsid w:val="00EB6CA3"/>
    <w:rsid w:val="00EB7DF5"/>
    <w:rsid w:val="00EC21DA"/>
    <w:rsid w:val="00EC6448"/>
    <w:rsid w:val="00ED2BDF"/>
    <w:rsid w:val="00ED4B8E"/>
    <w:rsid w:val="00ED5CDB"/>
    <w:rsid w:val="00ED7A9A"/>
    <w:rsid w:val="00EE5FB0"/>
    <w:rsid w:val="00EE7F1B"/>
    <w:rsid w:val="00F008B0"/>
    <w:rsid w:val="00F04455"/>
    <w:rsid w:val="00F06ABD"/>
    <w:rsid w:val="00F11419"/>
    <w:rsid w:val="00F12E14"/>
    <w:rsid w:val="00F14083"/>
    <w:rsid w:val="00F164D2"/>
    <w:rsid w:val="00F22264"/>
    <w:rsid w:val="00F24989"/>
    <w:rsid w:val="00F312AE"/>
    <w:rsid w:val="00F352E7"/>
    <w:rsid w:val="00F40673"/>
    <w:rsid w:val="00F41DF8"/>
    <w:rsid w:val="00F46142"/>
    <w:rsid w:val="00F46DE4"/>
    <w:rsid w:val="00F47552"/>
    <w:rsid w:val="00F50672"/>
    <w:rsid w:val="00F56FE9"/>
    <w:rsid w:val="00F6561B"/>
    <w:rsid w:val="00F65755"/>
    <w:rsid w:val="00F66540"/>
    <w:rsid w:val="00F6791C"/>
    <w:rsid w:val="00F70C9D"/>
    <w:rsid w:val="00F740B7"/>
    <w:rsid w:val="00F741FD"/>
    <w:rsid w:val="00F7556C"/>
    <w:rsid w:val="00F758FA"/>
    <w:rsid w:val="00F75A4F"/>
    <w:rsid w:val="00F806BA"/>
    <w:rsid w:val="00F81045"/>
    <w:rsid w:val="00F81D2D"/>
    <w:rsid w:val="00F90F84"/>
    <w:rsid w:val="00F931F8"/>
    <w:rsid w:val="00F934B3"/>
    <w:rsid w:val="00F964CA"/>
    <w:rsid w:val="00FA2739"/>
    <w:rsid w:val="00FA3752"/>
    <w:rsid w:val="00FA438C"/>
    <w:rsid w:val="00FA53C0"/>
    <w:rsid w:val="00FB0945"/>
    <w:rsid w:val="00FB1848"/>
    <w:rsid w:val="00FB296B"/>
    <w:rsid w:val="00FB2C6A"/>
    <w:rsid w:val="00FB3A18"/>
    <w:rsid w:val="00FB5F9E"/>
    <w:rsid w:val="00FB6F23"/>
    <w:rsid w:val="00FB7C0C"/>
    <w:rsid w:val="00FC429B"/>
    <w:rsid w:val="00FC543D"/>
    <w:rsid w:val="00FD0439"/>
    <w:rsid w:val="00FD0A67"/>
    <w:rsid w:val="00FD0DDD"/>
    <w:rsid w:val="00FD1A81"/>
    <w:rsid w:val="00FD3348"/>
    <w:rsid w:val="00FD5552"/>
    <w:rsid w:val="00FD7BB0"/>
    <w:rsid w:val="00FE785A"/>
    <w:rsid w:val="00FE7FF5"/>
    <w:rsid w:val="00FF5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CE563"/>
  <w15:docId w15:val="{02D284E5-0832-4A7C-9134-DF6CBF2B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23"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36" w:hanging="10"/>
      <w:outlineLvl w:val="0"/>
    </w:pPr>
    <w:rPr>
      <w:rFonts w:ascii="Calibri" w:eastAsia="Calibri" w:hAnsi="Calibri" w:cs="Calibri"/>
      <w:b/>
      <w:color w:val="000000"/>
    </w:rPr>
  </w:style>
  <w:style w:type="paragraph" w:styleId="Heading4">
    <w:name w:val="heading 4"/>
    <w:basedOn w:val="Normal"/>
    <w:next w:val="Normal"/>
    <w:link w:val="Heading4Char"/>
    <w:uiPriority w:val="9"/>
    <w:unhideWhenUsed/>
    <w:qFormat/>
    <w:rsid w:val="0022744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7269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6989"/>
    <w:rPr>
      <w:rFonts w:ascii="Calibri" w:eastAsia="Calibri" w:hAnsi="Calibri" w:cs="Calibri"/>
      <w:color w:val="000000"/>
    </w:rPr>
  </w:style>
  <w:style w:type="paragraph" w:styleId="Footer">
    <w:name w:val="footer"/>
    <w:basedOn w:val="Normal"/>
    <w:link w:val="FooterChar"/>
    <w:uiPriority w:val="99"/>
    <w:semiHidden/>
    <w:unhideWhenUsed/>
    <w:rsid w:val="007269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6989"/>
    <w:rPr>
      <w:rFonts w:ascii="Calibri" w:eastAsia="Calibri" w:hAnsi="Calibri" w:cs="Calibri"/>
      <w:color w:val="000000"/>
    </w:rPr>
  </w:style>
  <w:style w:type="character" w:styleId="Hyperlink">
    <w:name w:val="Hyperlink"/>
    <w:basedOn w:val="DefaultParagraphFont"/>
    <w:uiPriority w:val="99"/>
    <w:semiHidden/>
    <w:unhideWhenUsed/>
    <w:rsid w:val="00E81E02"/>
    <w:rPr>
      <w:color w:val="0000FF"/>
      <w:u w:val="single"/>
    </w:rPr>
  </w:style>
  <w:style w:type="character" w:customStyle="1" w:styleId="Heading4Char">
    <w:name w:val="Heading 4 Char"/>
    <w:basedOn w:val="DefaultParagraphFont"/>
    <w:link w:val="Heading4"/>
    <w:uiPriority w:val="9"/>
    <w:rsid w:val="0022744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3627">
      <w:bodyDiv w:val="1"/>
      <w:marLeft w:val="0"/>
      <w:marRight w:val="0"/>
      <w:marTop w:val="0"/>
      <w:marBottom w:val="0"/>
      <w:divBdr>
        <w:top w:val="none" w:sz="0" w:space="0" w:color="auto"/>
        <w:left w:val="none" w:sz="0" w:space="0" w:color="auto"/>
        <w:bottom w:val="none" w:sz="0" w:space="0" w:color="auto"/>
        <w:right w:val="none" w:sz="0" w:space="0" w:color="auto"/>
      </w:divBdr>
    </w:div>
    <w:div w:id="78796262">
      <w:bodyDiv w:val="1"/>
      <w:marLeft w:val="0"/>
      <w:marRight w:val="0"/>
      <w:marTop w:val="0"/>
      <w:marBottom w:val="0"/>
      <w:divBdr>
        <w:top w:val="none" w:sz="0" w:space="0" w:color="auto"/>
        <w:left w:val="none" w:sz="0" w:space="0" w:color="auto"/>
        <w:bottom w:val="none" w:sz="0" w:space="0" w:color="auto"/>
        <w:right w:val="none" w:sz="0" w:space="0" w:color="auto"/>
      </w:divBdr>
      <w:divsChild>
        <w:div w:id="1930237790">
          <w:marLeft w:val="0"/>
          <w:marRight w:val="0"/>
          <w:marTop w:val="0"/>
          <w:marBottom w:val="0"/>
          <w:divBdr>
            <w:top w:val="none" w:sz="0" w:space="0" w:color="auto"/>
            <w:left w:val="none" w:sz="0" w:space="0" w:color="auto"/>
            <w:bottom w:val="none" w:sz="0" w:space="0" w:color="auto"/>
            <w:right w:val="none" w:sz="0" w:space="0" w:color="auto"/>
          </w:divBdr>
          <w:divsChild>
            <w:div w:id="31688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259">
      <w:bodyDiv w:val="1"/>
      <w:marLeft w:val="0"/>
      <w:marRight w:val="0"/>
      <w:marTop w:val="0"/>
      <w:marBottom w:val="0"/>
      <w:divBdr>
        <w:top w:val="none" w:sz="0" w:space="0" w:color="auto"/>
        <w:left w:val="none" w:sz="0" w:space="0" w:color="auto"/>
        <w:bottom w:val="none" w:sz="0" w:space="0" w:color="auto"/>
        <w:right w:val="none" w:sz="0" w:space="0" w:color="auto"/>
      </w:divBdr>
    </w:div>
    <w:div w:id="584413449">
      <w:bodyDiv w:val="1"/>
      <w:marLeft w:val="0"/>
      <w:marRight w:val="0"/>
      <w:marTop w:val="0"/>
      <w:marBottom w:val="0"/>
      <w:divBdr>
        <w:top w:val="none" w:sz="0" w:space="0" w:color="auto"/>
        <w:left w:val="none" w:sz="0" w:space="0" w:color="auto"/>
        <w:bottom w:val="none" w:sz="0" w:space="0" w:color="auto"/>
        <w:right w:val="none" w:sz="0" w:space="0" w:color="auto"/>
      </w:divBdr>
    </w:div>
    <w:div w:id="1208227583">
      <w:bodyDiv w:val="1"/>
      <w:marLeft w:val="0"/>
      <w:marRight w:val="0"/>
      <w:marTop w:val="0"/>
      <w:marBottom w:val="0"/>
      <w:divBdr>
        <w:top w:val="none" w:sz="0" w:space="0" w:color="auto"/>
        <w:left w:val="none" w:sz="0" w:space="0" w:color="auto"/>
        <w:bottom w:val="none" w:sz="0" w:space="0" w:color="auto"/>
        <w:right w:val="none" w:sz="0" w:space="0" w:color="auto"/>
      </w:divBdr>
      <w:divsChild>
        <w:div w:id="712536110">
          <w:marLeft w:val="0"/>
          <w:marRight w:val="0"/>
          <w:marTop w:val="0"/>
          <w:marBottom w:val="0"/>
          <w:divBdr>
            <w:top w:val="none" w:sz="0" w:space="0" w:color="auto"/>
            <w:left w:val="none" w:sz="0" w:space="0" w:color="auto"/>
            <w:bottom w:val="none" w:sz="0" w:space="0" w:color="auto"/>
            <w:right w:val="none" w:sz="0" w:space="0" w:color="auto"/>
          </w:divBdr>
          <w:divsChild>
            <w:div w:id="189192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54149">
      <w:bodyDiv w:val="1"/>
      <w:marLeft w:val="0"/>
      <w:marRight w:val="0"/>
      <w:marTop w:val="0"/>
      <w:marBottom w:val="0"/>
      <w:divBdr>
        <w:top w:val="none" w:sz="0" w:space="0" w:color="auto"/>
        <w:left w:val="none" w:sz="0" w:space="0" w:color="auto"/>
        <w:bottom w:val="none" w:sz="0" w:space="0" w:color="auto"/>
        <w:right w:val="none" w:sz="0" w:space="0" w:color="auto"/>
      </w:divBdr>
      <w:divsChild>
        <w:div w:id="8332707">
          <w:marLeft w:val="0"/>
          <w:marRight w:val="0"/>
          <w:marTop w:val="0"/>
          <w:marBottom w:val="0"/>
          <w:divBdr>
            <w:top w:val="none" w:sz="0" w:space="0" w:color="auto"/>
            <w:left w:val="none" w:sz="0" w:space="0" w:color="auto"/>
            <w:bottom w:val="none" w:sz="0" w:space="0" w:color="auto"/>
            <w:right w:val="none" w:sz="0" w:space="0" w:color="auto"/>
          </w:divBdr>
          <w:divsChild>
            <w:div w:id="5610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library.morningstar.com.proxy.uwec.edu/fund/quote?t=FOUSA00J83"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rary.morningstar.com.proxy.uwec.edu/fund/quote?t=FOUSA00GGB"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library.morningstar.com.proxy.uwec.edu/ETF/quote?t=FEUSA0000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ibrary.morningstar.com.proxy.uwec.edu/fund/quote?t=FOUSA00FS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UWEC</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 Andrew Randel</dc:creator>
  <cp:keywords/>
  <cp:lastModifiedBy>Fink, Andrew Randel</cp:lastModifiedBy>
  <cp:revision>2</cp:revision>
  <dcterms:created xsi:type="dcterms:W3CDTF">2018-04-12T03:18:00Z</dcterms:created>
  <dcterms:modified xsi:type="dcterms:W3CDTF">2018-04-12T03:18:00Z</dcterms:modified>
</cp:coreProperties>
</file>